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9C7B1C4" w14:textId="77777777" w:rsidR="00D33BD0" w:rsidRDefault="00000000">
      <w:pPr>
        <w:spacing w:before="157" w:after="157" w:line="270" w:lineRule="auto"/>
      </w:pPr>
      <w:bookmarkStart w:id="0" w:name="price_practice_and_outcomes_a_con_27b9ce"/>
      <w:r>
        <w:rPr>
          <w:rFonts w:ascii="source serif 4" w:eastAsia="source serif 4" w:hAnsi="source serif 4" w:cs="source serif 4"/>
          <w:b/>
          <w:color w:val="000000"/>
          <w:sz w:val="39"/>
        </w:rPr>
        <w:t>Price, Practice, and Outcomes: A Consolidated Meta-Analysis of Healthcare Cost Variance, Quality, and the Case for Comprehensive Episode-Based Payment</w:t>
      </w:r>
      <w:bookmarkEnd w:id="0"/>
    </w:p>
    <w:p w14:paraId="1604E02F" w14:textId="77777777" w:rsidR="00D33BD0" w:rsidRDefault="00000000">
      <w:pPr>
        <w:spacing w:after="210" w:line="360" w:lineRule="auto"/>
      </w:pPr>
      <w:r>
        <w:rPr>
          <w:rFonts w:ascii="source serif 4" w:eastAsia="source serif 4" w:hAnsi="source serif 4" w:cs="source serif 4"/>
          <w:b/>
          <w:color w:val="000000"/>
        </w:rPr>
        <w:t>Authors:</w:t>
      </w:r>
      <w:r>
        <w:rPr>
          <w:rFonts w:ascii="source serif 4" w:eastAsia="source serif 4" w:hAnsi="source serif 4" w:cs="source serif 4"/>
          <w:color w:val="000000"/>
        </w:rPr>
        <w:t xml:space="preserve"> Stephen F. Wiggins, MBA; Erica Smith, PhD, MBA, MS, RN, CHDA; Emil Rusev, PhD; Earl Steinberg, MD, MPP</w:t>
      </w:r>
    </w:p>
    <w:p w14:paraId="54191EEC" w14:textId="77777777" w:rsidR="00D33BD0" w:rsidRDefault="00000000">
      <w:pPr>
        <w:spacing w:after="210" w:line="360" w:lineRule="auto"/>
      </w:pPr>
      <w:r>
        <w:rPr>
          <w:rFonts w:ascii="source serif 4" w:eastAsia="source serif 4" w:hAnsi="source serif 4" w:cs="source serif 4"/>
          <w:i/>
          <w:color w:val="000000"/>
        </w:rPr>
        <w:t>Oxbridge Health Analytics — Working Paper, June 2026</w:t>
      </w:r>
    </w:p>
    <w:p w14:paraId="62C4383F" w14:textId="77777777" w:rsidR="00D33BD0" w:rsidRDefault="008335B1">
      <w:pPr>
        <w:spacing w:before="210" w:after="0" w:line="360" w:lineRule="auto"/>
      </w:pPr>
      <w:r>
        <w:rPr>
          <w:noProof/>
        </w:rPr>
      </w:r>
      <w:r>
        <w:rPr>
          <w:noProof/>
        </w:rPr>
        <w:pict w14:anchorId="494C4C06">
          <v:rect id="_x0000_s1041"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1CAEB409" w14:textId="77777777" w:rsidR="00D33BD0" w:rsidRDefault="00000000">
      <w:pPr>
        <w:spacing w:before="315" w:after="105" w:line="360" w:lineRule="auto"/>
        <w:ind w:left="-30"/>
      </w:pPr>
      <w:bookmarkStart w:id="1" w:name="abstract"/>
      <w:r>
        <w:rPr>
          <w:rFonts w:ascii="source serif 4" w:eastAsia="source serif 4" w:hAnsi="source serif 4" w:cs="source serif 4"/>
          <w:b/>
          <w:color w:val="000000"/>
          <w:sz w:val="24"/>
        </w:rPr>
        <w:t>Abstract</w:t>
      </w:r>
      <w:bookmarkEnd w:id="1"/>
    </w:p>
    <w:p w14:paraId="753D8D5D" w14:textId="77777777" w:rsidR="00D33BD0" w:rsidRDefault="00000000">
      <w:pPr>
        <w:spacing w:after="210" w:line="360" w:lineRule="auto"/>
      </w:pPr>
      <w:r>
        <w:rPr>
          <w:rFonts w:ascii="source serif 4" w:eastAsia="source serif 4" w:hAnsi="source serif 4" w:cs="source serif 4"/>
          <w:b/>
          <w:color w:val="000000"/>
        </w:rPr>
        <w:t>Importance.</w:t>
      </w:r>
      <w:r>
        <w:rPr>
          <w:rFonts w:ascii="source serif 4" w:eastAsia="source serif 4" w:hAnsi="source serif 4" w:cs="source serif 4"/>
          <w:color w:val="000000"/>
        </w:rPr>
        <w:t xml:space="preserve"> Three distinct bodies of evidence converge on a single structural diagnosis of the U.S. healthcare cost problem: (1) the cost of care and its quality are not reliably correlated; (2) the dominant source of cost variance between providers treating comparable patients is not the price paid per unit of service, but the efficiency with which care is delivered—reflecting physician practice style and preference; and (3) existing episode-based payment models have demonstrated that cost and quality can simultaneously improve, but have captured only a fraction of achievable savings because current Medicare program designs trigger episodes at inpatient admission rather than at the point of diagnosis, leaving the most consequential physician decisions—whether to operate, which treatment path to choose, which implant or drug to use—entirely outside the accountable window.</w:t>
      </w:r>
    </w:p>
    <w:p w14:paraId="55652FA8" w14:textId="77777777" w:rsidR="00D33BD0" w:rsidRDefault="00000000">
      <w:pPr>
        <w:spacing w:after="210" w:line="360" w:lineRule="auto"/>
      </w:pPr>
      <w:r>
        <w:rPr>
          <w:rFonts w:ascii="source serif 4" w:eastAsia="source serif 4" w:hAnsi="source serif 4" w:cs="source serif 4"/>
          <w:b/>
          <w:color w:val="000000"/>
        </w:rPr>
        <w:t>Objectives.</w:t>
      </w:r>
      <w:r>
        <w:rPr>
          <w:rFonts w:ascii="source serif 4" w:eastAsia="source serif 4" w:hAnsi="source serif 4" w:cs="source serif 4"/>
          <w:color w:val="000000"/>
        </w:rPr>
        <w:t xml:space="preserve"> To synthesize the published evidence on the cost-quality correlation in U.S. healthcare; to integrate empirical findings on the magnitude and sources of episode-level cost variance; to evaluate the performance of existing episode-based payment programs; and to characterize the additional savings potential of episode definitions that begin at diagnosis and thereby encompass the full range of physician preference and practice style influences on total cost.</w:t>
      </w:r>
    </w:p>
    <w:p w14:paraId="25E21813" w14:textId="77777777" w:rsidR="00D33BD0" w:rsidRDefault="00000000">
      <w:pPr>
        <w:spacing w:after="210" w:line="360" w:lineRule="auto"/>
      </w:pPr>
      <w:r>
        <w:rPr>
          <w:rFonts w:ascii="source serif 4" w:eastAsia="source serif 4" w:hAnsi="source serif 4" w:cs="source serif 4"/>
          <w:b/>
          <w:color w:val="000000"/>
        </w:rPr>
        <w:t>Evidence synthesis.</w:t>
      </w:r>
      <w:r>
        <w:rPr>
          <w:rFonts w:ascii="source serif 4" w:eastAsia="source serif 4" w:hAnsi="source serif 4" w:cs="source serif 4"/>
          <w:color w:val="000000"/>
        </w:rPr>
        <w:t xml:space="preserve"> Three independent systematic reviews spanning more than 100 U.S. and international studies. Analysis of 8.2 million risk-adjusted commercial insurance episodes across 131 clinically defined episode types in four major Texas metropolitan markets. Evaluation of 10+ years of Medicare episode-based and accountable care program performance data from the Comprehensive Care for Joint Replacement (CJR) model, Bundled Payments for Care Improvement Advanced (BPCI Advanced), and the Medicare Shared Savings Program (MSSP). Supporting evidence from the Dartmouth Atlas of Health Care, RAND commercial price transparency research, Congressional Budget Office analyses, and landmark natural-experiment studies of physician- and patient-preference effects on spending.</w:t>
      </w:r>
    </w:p>
    <w:p w14:paraId="6DC254C9" w14:textId="77777777" w:rsidR="00D33BD0" w:rsidRDefault="00000000">
      <w:pPr>
        <w:spacing w:after="210" w:line="360" w:lineRule="auto"/>
      </w:pPr>
      <w:r>
        <w:rPr>
          <w:rFonts w:ascii="source serif 4" w:eastAsia="source serif 4" w:hAnsi="source serif 4" w:cs="source serif 4"/>
          <w:b/>
          <w:color w:val="000000"/>
        </w:rPr>
        <w:lastRenderedPageBreak/>
        <w:t>Findings.</w:t>
      </w:r>
      <w:r>
        <w:rPr>
          <w:rFonts w:ascii="source serif 4" w:eastAsia="source serif 4" w:hAnsi="source serif 4" w:cs="source serif 4"/>
          <w:color w:val="000000"/>
        </w:rPr>
        <w:t xml:space="preserve"> No reliable positive correlation between cost and quality exists across the broad healthcare landscape; the association is context-dependent, positive in acute care and absent or negative in the chronic and elective care that constitutes most spending. At the provider level, price shows essentially no relationship to quality. Cross-provider cost variance is overwhelmingly driven by efficiency—how much care is delivered—rather than by unit price: in a large commercial episode dataset, efficiency accounted for 88% of episode-level cost variance across all episode types and more than 99% when weighted by dollars spent. For condition episodes, which represent approximately 83% of total commercial spending, price was essentially irrelevant to cross-provider variance. The dominant mechanism is physician practice style, which accounts for 30–35% of geographic utilization variation and is conservatively three times as important as all non-physician supply-side factors combined. Patient preference, though real, is substantially smaller—explaining approximately 5% of spending variation—and is often an expression of undisclosed physician preference filtered through information asymmetry.</w:t>
      </w:r>
    </w:p>
    <w:p w14:paraId="533B9296" w14:textId="77777777" w:rsidR="00D33BD0" w:rsidRDefault="00000000">
      <w:pPr>
        <w:spacing w:after="210" w:line="360" w:lineRule="auto"/>
      </w:pPr>
      <w:r>
        <w:rPr>
          <w:rFonts w:ascii="source serif 4" w:eastAsia="source serif 4" w:hAnsi="source serif 4" w:cs="source serif 4"/>
          <w:color w:val="000000"/>
        </w:rPr>
        <w:t>CJR and BPCI Advanced have achieved modest, consistent savings of 2–8% on surgical episodes while maintaining or improving quality. These gains, however, reflect a structural limitation: both programs are triggered by inpatient admission, confining financial accountability to post-acute care management. The full suite of physician preference decisions—diagnostic workup, medical versus operative management, implant selection, drug choice, surgical approach—occurs before admission and remains largely unaccountable. Episode definitions beginning at diagnosis are expected to generate substantially larger savings by bringing this upstream decision space into the accountable care window.</w:t>
      </w:r>
    </w:p>
    <w:p w14:paraId="2F73702A" w14:textId="77777777" w:rsidR="00D33BD0" w:rsidRDefault="00000000">
      <w:pPr>
        <w:spacing w:after="210" w:line="360" w:lineRule="auto"/>
      </w:pPr>
      <w:r>
        <w:rPr>
          <w:rFonts w:ascii="source serif 4" w:eastAsia="source serif 4" w:hAnsi="source serif 4" w:cs="source serif 4"/>
          <w:b/>
          <w:color w:val="000000"/>
        </w:rPr>
        <w:t>Conclusions.</w:t>
      </w:r>
      <w:r>
        <w:rPr>
          <w:rFonts w:ascii="source serif 4" w:eastAsia="source serif 4" w:hAnsi="source serif 4" w:cs="source serif 4"/>
          <w:color w:val="000000"/>
        </w:rPr>
        <w:t xml:space="preserve"> Organizing measurement, payment, and benefit design around complete episodes of care—defined from diagnosis through recovery—is the intervention most directly matched to the structure of the U.S. healthcare cost problem. It is the only framework that simultaneously renders price and efficiency variance visible, attributable to specific physicians and facilities, and actionable through aligned financial incentives. The evidence reviewed in this synthesis strongly supports expanding comprehensive episode-based accountability as the central strategy for sustainable cost reduction without quality compromise.</w:t>
      </w:r>
    </w:p>
    <w:p w14:paraId="7AA2D5C5" w14:textId="77777777" w:rsidR="00D33BD0" w:rsidRDefault="008335B1">
      <w:pPr>
        <w:spacing w:before="210" w:after="0" w:line="360" w:lineRule="auto"/>
      </w:pPr>
      <w:r>
        <w:rPr>
          <w:noProof/>
        </w:rPr>
      </w:r>
      <w:r>
        <w:rPr>
          <w:noProof/>
        </w:rPr>
        <w:pict w14:anchorId="0312F48E">
          <v:rect id="_x0000_s1040"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53EFD097" w14:textId="77777777" w:rsidR="00D33BD0" w:rsidRDefault="00000000">
      <w:pPr>
        <w:spacing w:before="315" w:after="105" w:line="360" w:lineRule="auto"/>
        <w:ind w:left="-30"/>
      </w:pPr>
      <w:bookmarkStart w:id="2" w:name="bm_1_introduction"/>
      <w:r>
        <w:rPr>
          <w:rFonts w:ascii="source serif 4" w:eastAsia="source serif 4" w:hAnsi="source serif 4" w:cs="source serif 4"/>
          <w:b/>
          <w:color w:val="000000"/>
          <w:sz w:val="24"/>
        </w:rPr>
        <w:t>1. Introduction</w:t>
      </w:r>
      <w:bookmarkEnd w:id="2"/>
    </w:p>
    <w:p w14:paraId="32220B98" w14:textId="77777777" w:rsidR="00D33BD0" w:rsidRDefault="00000000">
      <w:pPr>
        <w:spacing w:after="210" w:line="360" w:lineRule="auto"/>
      </w:pPr>
      <w:r>
        <w:rPr>
          <w:rFonts w:ascii="source serif 4" w:eastAsia="source serif 4" w:hAnsi="source serif 4" w:cs="source serif 4"/>
          <w:color w:val="000000"/>
        </w:rPr>
        <w:t xml:space="preserve">The central challenge of U.S. healthcare is neither mysterious nor unsolved. Three decades of health services research have produced a remarkably clear diagnosis: the United States spends far more on healthcare than any comparable nation—approaching 18% of GDP—without achieving commensurately better health outcomes. Spending varies dramatically across providers, institutions, and geographies in ways unrelated to patient illness severity or to the quality of care delivered. A substantial share of this </w:t>
      </w:r>
      <w:r>
        <w:rPr>
          <w:rFonts w:ascii="source serif 4" w:eastAsia="source serif 4" w:hAnsi="source serif 4" w:cs="source serif 4"/>
          <w:color w:val="000000"/>
        </w:rPr>
        <w:lastRenderedPageBreak/>
        <w:t>variation—and with it an enormous portion of total expenditure—reflects not the price charged per service but the quantity and intensity of services delivered, governed by the practice styles, clinical beliefs, and financial incentives of individual physicians. And yet the dominant cost-management instruments deployed by commercial payers, employers, and government programs for 30 years have been focused primarily on price—negotiating rates, narrowing networks, and mandating price transparency—rather than on the efficiency variance that actually drives total cost.[</w:t>
      </w:r>
      <w:r>
        <w:rPr>
          <w:rFonts w:ascii="source serif 4" w:eastAsia="source serif 4" w:hAnsi="source serif 4" w:cs="source serif 4"/>
          <w:color w:val="000000"/>
          <w:vertAlign w:val="superscript"/>
        </w:rPr>
        <w:t>1][</w:t>
      </w:r>
      <w:r>
        <w:rPr>
          <w:rFonts w:ascii="source serif 4" w:eastAsia="source serif 4" w:hAnsi="source serif 4" w:cs="source serif 4"/>
          <w:color w:val="000000"/>
        </w:rPr>
        <w:t>2]</w:t>
      </w:r>
    </w:p>
    <w:p w14:paraId="5F239EC8" w14:textId="77777777" w:rsidR="00D33BD0" w:rsidRDefault="00000000">
      <w:pPr>
        <w:spacing w:after="210" w:line="360" w:lineRule="auto"/>
      </w:pPr>
      <w:r>
        <w:rPr>
          <w:rFonts w:ascii="source serif 4" w:eastAsia="source serif 4" w:hAnsi="source serif 4" w:cs="source serif 4"/>
          <w:color w:val="000000"/>
        </w:rPr>
        <w:t xml:space="preserve">This consolidated meta-analysis brings together three bodies of evidence that have developed largely in parallel and whose policy implications are greatly strengthened when read jointly. The first body concerns the </w:t>
      </w:r>
      <w:r>
        <w:rPr>
          <w:rFonts w:ascii="source serif 4" w:eastAsia="source serif 4" w:hAnsi="source serif 4" w:cs="source serif 4"/>
          <w:i/>
          <w:color w:val="000000"/>
        </w:rPr>
        <w:t>correlation between cost and quality</w:t>
      </w:r>
      <w:r>
        <w:rPr>
          <w:rFonts w:ascii="source serif 4" w:eastAsia="source serif 4" w:hAnsi="source serif 4" w:cs="source serif 4"/>
          <w:color w:val="000000"/>
        </w:rPr>
        <w:t xml:space="preserve">: does paying more for healthcare reliably produce better care? The answer, drawn from more than 100 studies across three independent systematic reviews, is no—or more precisely, it depends on clinical context in ways that purchasers and policymakers have systematically misunderstood. The second body concerns the </w:t>
      </w:r>
      <w:r>
        <w:rPr>
          <w:rFonts w:ascii="source serif 4" w:eastAsia="source serif 4" w:hAnsi="source serif 4" w:cs="source serif 4"/>
          <w:i/>
          <w:color w:val="000000"/>
        </w:rPr>
        <w:t>structure of episode-level cost variance</w:t>
      </w:r>
      <w:r>
        <w:rPr>
          <w:rFonts w:ascii="source serif 4" w:eastAsia="source serif 4" w:hAnsi="source serif 4" w:cs="source serif 4"/>
          <w:color w:val="000000"/>
        </w:rPr>
        <w:t xml:space="preserve">: is the dispersion in what providers charge primarily a pricing phenomenon or an efficiency phenomenon? New large-scale empirical evidence answers this question with unusual precision, finding that efficiency—physician-driven variation in the quantity and intensity of care—accounts for nearly all of the economically meaningful cost variance in a commercial population. The third body concerns </w:t>
      </w:r>
      <w:r>
        <w:rPr>
          <w:rFonts w:ascii="source serif 4" w:eastAsia="source serif 4" w:hAnsi="source serif 4" w:cs="source serif 4"/>
          <w:i/>
          <w:color w:val="000000"/>
        </w:rPr>
        <w:t>episode-based payment models</w:t>
      </w:r>
      <w:r>
        <w:rPr>
          <w:rFonts w:ascii="source serif 4" w:eastAsia="source serif 4" w:hAnsi="source serif 4" w:cs="source serif 4"/>
          <w:color w:val="000000"/>
        </w:rPr>
        <w:t xml:space="preserve"> as a solution: do programs that hold providers accountable for complete episodes of care reduce costs without harming quality, and what constrains their savings potential?</w:t>
      </w:r>
    </w:p>
    <w:p w14:paraId="748F5351" w14:textId="77777777" w:rsidR="00D33BD0" w:rsidRDefault="00000000">
      <w:pPr>
        <w:spacing w:after="210" w:line="360" w:lineRule="auto"/>
      </w:pPr>
      <w:r>
        <w:rPr>
          <w:rFonts w:ascii="source serif 4" w:eastAsia="source serif 4" w:hAnsi="source serif 4" w:cs="source serif 4"/>
          <w:color w:val="000000"/>
        </w:rPr>
        <w:t>The integration of these three bodies of evidence produces a finding greater than the sum of its parts: the programs that have most convincingly demonstrated simultaneous cost reduction and quality maintenance—CJR, BPCI Advanced, and the MSSP—have done so while operating in a constrained accountability window. Medicare's existing episode-based programs are triggered by inpatient admission and therefore capture primarily post-acute care efficiency. The physician decisions that represent the largest opportunity for cost reduction—whether to operate or manage medically, which diagnostic path to pursue, which implant or biologic to select, how to route the patient after discharge—occur before the patient is admitted and before the episode clock starts. Expanding episode definitions to begin at diagnosis is the logical next step, and the evidence reviewed here supports the expectation that such expansion would yield savings multiples above what current programs have achieved.</w:t>
      </w:r>
    </w:p>
    <w:p w14:paraId="397C4383" w14:textId="77777777" w:rsidR="00D33BD0" w:rsidRDefault="008335B1">
      <w:pPr>
        <w:spacing w:before="210" w:after="0" w:line="360" w:lineRule="auto"/>
      </w:pPr>
      <w:r>
        <w:rPr>
          <w:noProof/>
        </w:rPr>
      </w:r>
      <w:r>
        <w:rPr>
          <w:noProof/>
        </w:rPr>
        <w:pict w14:anchorId="02EDDC46">
          <v:rect id="_x0000_s1039"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6F36C072" w14:textId="77777777" w:rsidR="00D33BD0" w:rsidRDefault="00000000">
      <w:pPr>
        <w:spacing w:before="315" w:after="105" w:line="360" w:lineRule="auto"/>
        <w:ind w:left="-30"/>
      </w:pPr>
      <w:bookmarkStart w:id="3" w:name="bm_2_theoretical_framework_three_3c62b1"/>
      <w:r>
        <w:rPr>
          <w:rFonts w:ascii="source serif 4" w:eastAsia="source serif 4" w:hAnsi="source serif 4" w:cs="source serif 4"/>
          <w:b/>
          <w:color w:val="000000"/>
          <w:sz w:val="24"/>
        </w:rPr>
        <w:t>2. Theoretical Framework: Three Lenses on the Same Problem</w:t>
      </w:r>
      <w:bookmarkEnd w:id="3"/>
    </w:p>
    <w:p w14:paraId="2281B6AC" w14:textId="77777777" w:rsidR="00D33BD0" w:rsidRDefault="00000000">
      <w:pPr>
        <w:spacing w:before="315" w:after="105" w:line="360" w:lineRule="auto"/>
        <w:ind w:left="-30"/>
      </w:pPr>
      <w:bookmarkStart w:id="4" w:name="bm_2_1_the_cost_quality_lens"/>
      <w:r>
        <w:rPr>
          <w:rFonts w:ascii="source serif 4" w:eastAsia="source serif 4" w:hAnsi="source serif 4" w:cs="source serif 4"/>
          <w:b/>
          <w:color w:val="000000"/>
          <w:sz w:val="24"/>
        </w:rPr>
        <w:t>2.1 The Cost-Quality Lens</w:t>
      </w:r>
      <w:bookmarkEnd w:id="4"/>
    </w:p>
    <w:p w14:paraId="6549B57B" w14:textId="77777777" w:rsidR="00D33BD0" w:rsidRDefault="00000000">
      <w:pPr>
        <w:spacing w:after="210" w:line="360" w:lineRule="auto"/>
      </w:pPr>
      <w:r>
        <w:rPr>
          <w:rFonts w:ascii="source serif 4" w:eastAsia="source serif 4" w:hAnsi="source serif 4" w:cs="source serif 4"/>
          <w:color w:val="000000"/>
        </w:rPr>
        <w:lastRenderedPageBreak/>
        <w:t>The most persistent assumption in healthcare purchasing is that higher cost signals higher quality—that a more expensive provider, hospital, or region delivers better care. This assumption underlies the construction of premium provider tiers, the logic of centers-of-excellence programs, the use of reference pricing, and patient intuition at the point of provider selection. If the assumption were correct, cost containment would represent an unavoidable trade-off against quality. The evidence reviewed in this synthesis consistently falsifies this assumption as a general proposition, though with important exceptions in specific clinical settings that responsible policy must respect.[^2]</w:t>
      </w:r>
    </w:p>
    <w:p w14:paraId="57C41715" w14:textId="77777777" w:rsidR="00D33BD0" w:rsidRDefault="00000000">
      <w:pPr>
        <w:spacing w:before="315" w:after="105" w:line="360" w:lineRule="auto"/>
        <w:ind w:left="-30"/>
      </w:pPr>
      <w:bookmarkStart w:id="5" w:name="bm_2_2_the_variance_decomposition_lens"/>
      <w:r>
        <w:rPr>
          <w:rFonts w:ascii="source serif 4" w:eastAsia="source serif 4" w:hAnsi="source serif 4" w:cs="source serif 4"/>
          <w:b/>
          <w:color w:val="000000"/>
          <w:sz w:val="24"/>
        </w:rPr>
        <w:t>2.2 The Variance Decomposition Lens</w:t>
      </w:r>
      <w:bookmarkEnd w:id="5"/>
    </w:p>
    <w:p w14:paraId="18B673F2" w14:textId="77777777" w:rsidR="00D33BD0" w:rsidRDefault="00000000">
      <w:pPr>
        <w:spacing w:after="210" w:line="360" w:lineRule="auto"/>
      </w:pPr>
      <w:r>
        <w:rPr>
          <w:rFonts w:ascii="source serif 4" w:eastAsia="source serif 4" w:hAnsi="source serif 4" w:cs="source serif 4"/>
          <w:color w:val="000000"/>
        </w:rPr>
        <w:t xml:space="preserve">A distinct and complementary question is not whether higher cost correlates with higher quality, but </w:t>
      </w:r>
      <w:r>
        <w:rPr>
          <w:rFonts w:ascii="source serif 4" w:eastAsia="source serif 4" w:hAnsi="source serif 4" w:cs="source serif 4"/>
          <w:i/>
          <w:color w:val="000000"/>
        </w:rPr>
        <w:t>why</w:t>
      </w:r>
      <w:r>
        <w:rPr>
          <w:rFonts w:ascii="source serif 4" w:eastAsia="source serif 4" w:hAnsi="source serif 4" w:cs="source serif 4"/>
          <w:color w:val="000000"/>
        </w:rPr>
        <w:t xml:space="preserve"> some providers cost more than others for the same clinical problem in the same market. Two possible answers exist: (a) some providers charge higher prices per unit of service, or (b) some providers deliver more units of service. These require entirely different policy responses—price regulation versus efficiency accountability—and conflating them is the single most costly analytical error in healthcare cost management. The evidence reviewed here, from an analysis of 8.2 million commercial insurance episodes, establishes with quantitative precision which answer dominates.[^1]</w:t>
      </w:r>
    </w:p>
    <w:p w14:paraId="2A8AD34C" w14:textId="77777777" w:rsidR="00D33BD0" w:rsidRDefault="00000000">
      <w:pPr>
        <w:spacing w:before="315" w:after="105" w:line="360" w:lineRule="auto"/>
        <w:ind w:left="-30"/>
      </w:pPr>
      <w:bookmarkStart w:id="6" w:name="bm_2_3_the_episode_accountability_lens"/>
      <w:r>
        <w:rPr>
          <w:rFonts w:ascii="source serif 4" w:eastAsia="source serif 4" w:hAnsi="source serif 4" w:cs="source serif 4"/>
          <w:b/>
          <w:color w:val="000000"/>
          <w:sz w:val="24"/>
        </w:rPr>
        <w:t>2.3 The Episode Accountability Lens</w:t>
      </w:r>
      <w:bookmarkEnd w:id="6"/>
    </w:p>
    <w:p w14:paraId="2AD8CFEB" w14:textId="77777777" w:rsidR="00D33BD0" w:rsidRDefault="00000000">
      <w:pPr>
        <w:spacing w:after="210" w:line="360" w:lineRule="auto"/>
      </w:pPr>
      <w:r>
        <w:rPr>
          <w:rFonts w:ascii="source serif 4" w:eastAsia="source serif 4" w:hAnsi="source serif 4" w:cs="source serif 4"/>
          <w:color w:val="000000"/>
        </w:rPr>
        <w:t>Porter and Teisberg's foundational 2006 value framework argued that healthcare competition must be organized around the full cycle of care for a medical condition—not around discrete services, specialties, or inpatient admissions. The episode of care—defined as the complete clinical and financial journey of a patient from diagnosis through recovery—is the unit in which value is both created and destroyed. It is also the unit in which cost and quality are most legibly connected: an episode that results in a complication, a preventable readmission, or unnecessary post-acute care is simultaneously a quality failure and a cost escalation. The last decade of federal payment reform has validated this framework in principle while implementing it in a constrained form.[</w:t>
      </w:r>
      <w:r>
        <w:rPr>
          <w:rFonts w:ascii="source serif 4" w:eastAsia="source serif 4" w:hAnsi="source serif 4" w:cs="source serif 4"/>
          <w:color w:val="000000"/>
          <w:vertAlign w:val="superscript"/>
        </w:rPr>
        <w:t>2][</w:t>
      </w:r>
      <w:r>
        <w:rPr>
          <w:rFonts w:ascii="source serif 4" w:eastAsia="source serif 4" w:hAnsi="source serif 4" w:cs="source serif 4"/>
          <w:color w:val="000000"/>
        </w:rPr>
        <w:t>1]</w:t>
      </w:r>
    </w:p>
    <w:p w14:paraId="5AAD44E2" w14:textId="77777777" w:rsidR="00D33BD0" w:rsidRDefault="008335B1">
      <w:pPr>
        <w:spacing w:before="210" w:after="0" w:line="360" w:lineRule="auto"/>
      </w:pPr>
      <w:r>
        <w:rPr>
          <w:noProof/>
        </w:rPr>
      </w:r>
      <w:r>
        <w:rPr>
          <w:noProof/>
        </w:rPr>
        <w:pict w14:anchorId="729B8A41">
          <v:rect id="_x0000_s1038"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44387C20" w14:textId="77777777" w:rsidR="00D33BD0" w:rsidRDefault="00000000">
      <w:pPr>
        <w:spacing w:before="315" w:after="105" w:line="360" w:lineRule="auto"/>
        <w:ind w:left="-30"/>
      </w:pPr>
      <w:bookmarkStart w:id="7" w:name="bm_3_the_cost_quality_correlation_b3d348"/>
      <w:r>
        <w:rPr>
          <w:rFonts w:ascii="source serif 4" w:eastAsia="source serif 4" w:hAnsi="source serif 4" w:cs="source serif 4"/>
          <w:b/>
          <w:color w:val="000000"/>
          <w:sz w:val="24"/>
        </w:rPr>
        <w:t>3. The Cost-Quality Correlation: What the Evidence Shows</w:t>
      </w:r>
      <w:bookmarkEnd w:id="7"/>
    </w:p>
    <w:p w14:paraId="45FEB24A" w14:textId="77777777" w:rsidR="00D33BD0" w:rsidRDefault="00000000">
      <w:pPr>
        <w:spacing w:before="315" w:after="105" w:line="360" w:lineRule="auto"/>
        <w:ind w:left="-30"/>
      </w:pPr>
      <w:bookmarkStart w:id="8" w:name="bm_3_1_three_systematic_reviews_c_b9f767"/>
      <w:r>
        <w:rPr>
          <w:rFonts w:ascii="source serif 4" w:eastAsia="source serif 4" w:hAnsi="source serif 4" w:cs="source serif 4"/>
          <w:b/>
          <w:color w:val="000000"/>
          <w:sz w:val="24"/>
        </w:rPr>
        <w:t>3.1 Three Systematic Reviews Converge on Heterogeneity</w:t>
      </w:r>
      <w:bookmarkEnd w:id="8"/>
    </w:p>
    <w:p w14:paraId="570A927B" w14:textId="77777777" w:rsidR="00D33BD0" w:rsidRDefault="00000000">
      <w:pPr>
        <w:spacing w:after="210" w:line="360" w:lineRule="auto"/>
      </w:pPr>
      <w:r>
        <w:rPr>
          <w:rFonts w:ascii="source serif 4" w:eastAsia="source serif 4" w:hAnsi="source serif 4" w:cs="source serif 4"/>
          <w:color w:val="000000"/>
        </w:rPr>
        <w:t xml:space="preserve">The foundational meta-analytic baseline for the cost-quality relationship was established by Hussey, Wertheimer, and Mehrotra in a systematic review published in the </w:t>
      </w:r>
      <w:r>
        <w:rPr>
          <w:rFonts w:ascii="source serif 4" w:eastAsia="source serif 4" w:hAnsi="source serif 4" w:cs="source serif 4"/>
          <w:i/>
          <w:color w:val="000000"/>
        </w:rPr>
        <w:t>Annals of Internal Medicine</w:t>
      </w:r>
      <w:r>
        <w:rPr>
          <w:rFonts w:ascii="source serif 4" w:eastAsia="source serif 4" w:hAnsi="source serif 4" w:cs="source serif 4"/>
          <w:color w:val="000000"/>
        </w:rPr>
        <w:t xml:space="preserve"> in 2013. Searching three databases for U.S. studies published between 1990 and 2012, they identified 61 empirical </w:t>
      </w:r>
      <w:r>
        <w:rPr>
          <w:rFonts w:ascii="source serif 4" w:eastAsia="source serif 4" w:hAnsi="source serif 4" w:cs="source serif 4"/>
          <w:color w:val="000000"/>
        </w:rPr>
        <w:lastRenderedPageBreak/>
        <w:t>studies that directly quantified the association between a cost measure and a quality measure. The results split almost evenly three ways:[^2]</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3966"/>
        <w:gridCol w:w="856"/>
        <w:gridCol w:w="4682"/>
      </w:tblGrid>
      <w:tr w:rsidR="00D33BD0" w14:paraId="26C08425"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BA24B1B" w14:textId="77777777" w:rsidR="00D33BD0" w:rsidRDefault="00000000">
            <w:pPr>
              <w:spacing w:line="360" w:lineRule="auto"/>
            </w:pPr>
            <w:r>
              <w:rPr>
                <w:rFonts w:ascii="source sans 3" w:eastAsia="source sans 3" w:hAnsi="source sans 3" w:cs="source sans 3"/>
                <w:color w:val="000000"/>
                <w:sz w:val="17"/>
              </w:rPr>
              <w:t>Systematic Review</w:t>
            </w:r>
          </w:p>
        </w:tc>
        <w:tc>
          <w:tcPr>
            <w:tcW w:w="0" w:type="auto"/>
            <w:tcBorders>
              <w:top w:val="single" w:sz="1" w:space="0" w:color="000000"/>
              <w:bottom w:val="single" w:sz="1" w:space="0" w:color="000000"/>
              <w:right w:val="single" w:sz="1" w:space="0" w:color="000000"/>
            </w:tcBorders>
          </w:tcPr>
          <w:p w14:paraId="2C281D28" w14:textId="77777777" w:rsidR="00D33BD0" w:rsidRDefault="00000000">
            <w:pPr>
              <w:spacing w:line="360" w:lineRule="auto"/>
            </w:pPr>
            <w:r>
              <w:rPr>
                <w:rFonts w:ascii="source sans 3" w:eastAsia="source sans 3" w:hAnsi="source sans 3" w:cs="source sans 3"/>
                <w:color w:val="000000"/>
                <w:sz w:val="17"/>
              </w:rPr>
              <w:t>Studies</w:t>
            </w:r>
          </w:p>
        </w:tc>
        <w:tc>
          <w:tcPr>
            <w:tcW w:w="0" w:type="auto"/>
            <w:tcBorders>
              <w:top w:val="single" w:sz="1" w:space="0" w:color="000000"/>
              <w:bottom w:val="single" w:sz="1" w:space="0" w:color="000000"/>
            </w:tcBorders>
          </w:tcPr>
          <w:p w14:paraId="19F352E9" w14:textId="77777777" w:rsidR="00D33BD0" w:rsidRDefault="00000000">
            <w:pPr>
              <w:spacing w:line="360" w:lineRule="auto"/>
            </w:pPr>
            <w:r>
              <w:rPr>
                <w:rFonts w:ascii="source sans 3" w:eastAsia="source sans 3" w:hAnsi="source sans 3" w:cs="source sans 3"/>
                <w:color w:val="000000"/>
                <w:sz w:val="17"/>
              </w:rPr>
              <w:t>Direction of Evidence</w:t>
            </w:r>
          </w:p>
        </w:tc>
      </w:tr>
      <w:tr w:rsidR="00D33BD0" w14:paraId="57A86D02"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29A4E91" w14:textId="77777777" w:rsidR="00D33BD0" w:rsidRDefault="00000000">
            <w:pPr>
              <w:spacing w:line="360" w:lineRule="auto"/>
            </w:pPr>
            <w:r>
              <w:rPr>
                <w:rFonts w:ascii="source sans 3" w:eastAsia="source sans 3" w:hAnsi="source sans 3" w:cs="source sans 3"/>
                <w:color w:val="000000"/>
                <w:sz w:val="17"/>
              </w:rPr>
              <w:t>Hussey, Wertheimer, Mehrotra 2013 (U.S., 1990–2012)</w:t>
            </w:r>
          </w:p>
        </w:tc>
        <w:tc>
          <w:tcPr>
            <w:tcW w:w="0" w:type="auto"/>
            <w:tcBorders>
              <w:top w:val="single" w:sz="1" w:space="0" w:color="000000"/>
              <w:bottom w:val="single" w:sz="1" w:space="0" w:color="000000"/>
              <w:right w:val="single" w:sz="1" w:space="0" w:color="000000"/>
            </w:tcBorders>
          </w:tcPr>
          <w:p w14:paraId="34C4E353" w14:textId="77777777" w:rsidR="00D33BD0" w:rsidRDefault="00000000">
            <w:pPr>
              <w:spacing w:line="360" w:lineRule="auto"/>
            </w:pPr>
            <w:r>
              <w:rPr>
                <w:rFonts w:ascii="source sans 3" w:eastAsia="source sans 3" w:hAnsi="source sans 3" w:cs="source sans 3"/>
                <w:color w:val="000000"/>
                <w:sz w:val="17"/>
              </w:rPr>
              <w:t>61</w:t>
            </w:r>
          </w:p>
        </w:tc>
        <w:tc>
          <w:tcPr>
            <w:tcW w:w="0" w:type="auto"/>
            <w:tcBorders>
              <w:top w:val="single" w:sz="1" w:space="0" w:color="000000"/>
              <w:bottom w:val="single" w:sz="1" w:space="0" w:color="000000"/>
            </w:tcBorders>
          </w:tcPr>
          <w:p w14:paraId="0051A80B" w14:textId="77777777" w:rsidR="00D33BD0" w:rsidRDefault="00000000">
            <w:pPr>
              <w:spacing w:line="360" w:lineRule="auto"/>
            </w:pPr>
            <w:r>
              <w:rPr>
                <w:rFonts w:ascii="source sans 3" w:eastAsia="source sans 3" w:hAnsi="source sans 3" w:cs="source sans 3"/>
                <w:color w:val="000000"/>
                <w:sz w:val="17"/>
              </w:rPr>
              <w:t>34% positive/mixed-positive; 30% negative/mixed-negative; 36% none/null</w:t>
            </w:r>
          </w:p>
        </w:tc>
      </w:tr>
      <w:tr w:rsidR="00D33BD0" w14:paraId="65376B2F"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36ADCB6" w14:textId="77777777" w:rsidR="00D33BD0" w:rsidRDefault="00000000">
            <w:pPr>
              <w:spacing w:line="360" w:lineRule="auto"/>
            </w:pPr>
            <w:r>
              <w:rPr>
                <w:rFonts w:ascii="source sans 3" w:eastAsia="source sans 3" w:hAnsi="source sans 3" w:cs="source sans 3"/>
                <w:color w:val="000000"/>
                <w:sz w:val="17"/>
              </w:rPr>
              <w:t>Jamalabadi, Winter, Schreyögg 2020 (international, 1990–2019)</w:t>
            </w:r>
          </w:p>
        </w:tc>
        <w:tc>
          <w:tcPr>
            <w:tcW w:w="0" w:type="auto"/>
            <w:tcBorders>
              <w:top w:val="single" w:sz="1" w:space="0" w:color="000000"/>
              <w:bottom w:val="single" w:sz="1" w:space="0" w:color="000000"/>
              <w:right w:val="single" w:sz="1" w:space="0" w:color="000000"/>
            </w:tcBorders>
          </w:tcPr>
          <w:p w14:paraId="65A22B6D" w14:textId="77777777" w:rsidR="00D33BD0" w:rsidRDefault="00000000">
            <w:pPr>
              <w:spacing w:line="360" w:lineRule="auto"/>
            </w:pPr>
            <w:r>
              <w:rPr>
                <w:rFonts w:ascii="source sans 3" w:eastAsia="source sans 3" w:hAnsi="source sans 3" w:cs="source sans 3"/>
                <w:color w:val="000000"/>
                <w:sz w:val="17"/>
              </w:rPr>
              <w:t>47</w:t>
            </w:r>
          </w:p>
        </w:tc>
        <w:tc>
          <w:tcPr>
            <w:tcW w:w="0" w:type="auto"/>
            <w:tcBorders>
              <w:top w:val="single" w:sz="1" w:space="0" w:color="000000"/>
              <w:bottom w:val="single" w:sz="1" w:space="0" w:color="000000"/>
            </w:tcBorders>
          </w:tcPr>
          <w:p w14:paraId="1968D170" w14:textId="77777777" w:rsidR="00D33BD0" w:rsidRDefault="00000000">
            <w:pPr>
              <w:spacing w:line="360" w:lineRule="auto"/>
            </w:pPr>
            <w:r>
              <w:rPr>
                <w:rFonts w:ascii="source sans 3" w:eastAsia="source sans 3" w:hAnsi="source sans 3" w:cs="source sans 3"/>
                <w:color w:val="000000"/>
                <w:sz w:val="17"/>
              </w:rPr>
              <w:t>Highly heterogeneous; no dominant direction</w:t>
            </w:r>
          </w:p>
        </w:tc>
      </w:tr>
      <w:tr w:rsidR="00D33BD0" w14:paraId="6B17C6F3"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A17DE71" w14:textId="77777777" w:rsidR="00D33BD0" w:rsidRDefault="00000000">
            <w:pPr>
              <w:spacing w:line="360" w:lineRule="auto"/>
            </w:pPr>
            <w:r>
              <w:rPr>
                <w:rFonts w:ascii="source sans 3" w:eastAsia="source sans 3" w:hAnsi="source sans 3" w:cs="source sans 3"/>
                <w:color w:val="000000"/>
                <w:sz w:val="17"/>
              </w:rPr>
              <w:t>Søgaard &amp; Enemark 2017 (Europe)</w:t>
            </w:r>
          </w:p>
        </w:tc>
        <w:tc>
          <w:tcPr>
            <w:tcW w:w="0" w:type="auto"/>
            <w:tcBorders>
              <w:top w:val="single" w:sz="1" w:space="0" w:color="000000"/>
              <w:bottom w:val="single" w:sz="1" w:space="0" w:color="000000"/>
              <w:right w:val="single" w:sz="1" w:space="0" w:color="000000"/>
            </w:tcBorders>
          </w:tcPr>
          <w:p w14:paraId="20BD4BE7" w14:textId="77777777" w:rsidR="00D33BD0" w:rsidRDefault="00000000">
            <w:pPr>
              <w:spacing w:line="360" w:lineRule="auto"/>
            </w:pPr>
            <w:r>
              <w:rPr>
                <w:rFonts w:ascii="source sans 3" w:eastAsia="source sans 3" w:hAnsi="source sans 3" w:cs="source sans 3"/>
                <w:color w:val="000000"/>
                <w:sz w:val="17"/>
              </w:rPr>
              <w:t>22</w:t>
            </w:r>
          </w:p>
        </w:tc>
        <w:tc>
          <w:tcPr>
            <w:tcW w:w="0" w:type="auto"/>
            <w:tcBorders>
              <w:top w:val="single" w:sz="1" w:space="0" w:color="000000"/>
              <w:bottom w:val="single" w:sz="1" w:space="0" w:color="000000"/>
            </w:tcBorders>
          </w:tcPr>
          <w:p w14:paraId="19158EE6" w14:textId="77777777" w:rsidR="00D33BD0" w:rsidRDefault="00000000">
            <w:pPr>
              <w:spacing w:line="360" w:lineRule="auto"/>
            </w:pPr>
            <w:r>
              <w:rPr>
                <w:rFonts w:ascii="source sans 3" w:eastAsia="source sans 3" w:hAnsi="source sans 3" w:cs="source sans 3"/>
                <w:color w:val="000000"/>
                <w:sz w:val="17"/>
              </w:rPr>
              <w:t>Positive, negative, two-directional, and null all present</w:t>
            </w:r>
          </w:p>
        </w:tc>
      </w:tr>
    </w:tbl>
    <w:p w14:paraId="0A38375D" w14:textId="77777777" w:rsidR="00D33BD0" w:rsidRDefault="00D33BD0"/>
    <w:p w14:paraId="29B0B198" w14:textId="77777777" w:rsidR="00D33BD0" w:rsidRDefault="00000000">
      <w:pPr>
        <w:spacing w:after="210" w:line="360" w:lineRule="auto"/>
      </w:pPr>
      <w:r>
        <w:rPr>
          <w:rFonts w:ascii="source serif 4" w:eastAsia="source serif 4" w:hAnsi="source serif 4" w:cs="source serif 4"/>
          <w:color w:val="000000"/>
        </w:rPr>
        <w:t>Two subsequent systematic reviews—one international spanning studies through 2019, one European—replicated this finding of high heterogeneity without a dominant direction. Three reviews, three regions, one conclusion: there is no stable, generalizable correlation between the cost of care and its quality.[^2]</w:t>
      </w:r>
    </w:p>
    <w:p w14:paraId="7A99E0A4" w14:textId="77777777" w:rsidR="00D33BD0" w:rsidRDefault="00000000">
      <w:pPr>
        <w:spacing w:before="315" w:after="105" w:line="360" w:lineRule="auto"/>
        <w:ind w:left="-30"/>
      </w:pPr>
      <w:bookmarkStart w:id="9" w:name="bm_3_2_context_governs_direction"/>
      <w:r>
        <w:rPr>
          <w:rFonts w:ascii="source serif 4" w:eastAsia="source serif 4" w:hAnsi="source serif 4" w:cs="source serif 4"/>
          <w:b/>
          <w:color w:val="000000"/>
          <w:sz w:val="24"/>
        </w:rPr>
        <w:t>3.2 Context Governs Direction</w:t>
      </w:r>
      <w:bookmarkEnd w:id="9"/>
    </w:p>
    <w:p w14:paraId="7C4BFE44" w14:textId="77777777" w:rsidR="00D33BD0" w:rsidRDefault="00000000">
      <w:pPr>
        <w:spacing w:after="210" w:line="360" w:lineRule="auto"/>
      </w:pPr>
      <w:r>
        <w:rPr>
          <w:rFonts w:ascii="source serif 4" w:eastAsia="source serif 4" w:hAnsi="source serif 4" w:cs="source serif 4"/>
          <w:color w:val="000000"/>
        </w:rPr>
        <w:t>The apparent inconsistency across studies dissolves when the evidence is sorted by clinical setting. The relationship between cost and quality is not a fixed number but a function of context, and it changes sign across settings:[^2]</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3060"/>
        <w:gridCol w:w="1492"/>
        <w:gridCol w:w="4952"/>
      </w:tblGrid>
      <w:tr w:rsidR="00D33BD0" w14:paraId="57F44EBB"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A667F4D" w14:textId="77777777" w:rsidR="00D33BD0" w:rsidRDefault="00000000">
            <w:pPr>
              <w:spacing w:line="360" w:lineRule="auto"/>
            </w:pPr>
            <w:r>
              <w:rPr>
                <w:rFonts w:ascii="source sans 3" w:eastAsia="source sans 3" w:hAnsi="source sans 3" w:cs="source sans 3"/>
                <w:color w:val="000000"/>
                <w:sz w:val="17"/>
              </w:rPr>
              <w:t>Clinical Setting</w:t>
            </w:r>
          </w:p>
        </w:tc>
        <w:tc>
          <w:tcPr>
            <w:tcW w:w="0" w:type="auto"/>
            <w:tcBorders>
              <w:top w:val="single" w:sz="1" w:space="0" w:color="000000"/>
              <w:bottom w:val="single" w:sz="1" w:space="0" w:color="000000"/>
              <w:right w:val="single" w:sz="1" w:space="0" w:color="000000"/>
            </w:tcBorders>
          </w:tcPr>
          <w:p w14:paraId="192E658C" w14:textId="77777777" w:rsidR="00D33BD0" w:rsidRDefault="00000000">
            <w:pPr>
              <w:spacing w:line="360" w:lineRule="auto"/>
            </w:pPr>
            <w:r>
              <w:rPr>
                <w:rFonts w:ascii="source sans 3" w:eastAsia="source sans 3" w:hAnsi="source sans 3" w:cs="source sans 3"/>
                <w:color w:val="000000"/>
                <w:sz w:val="17"/>
              </w:rPr>
              <w:t>Typical Association</w:t>
            </w:r>
          </w:p>
        </w:tc>
        <w:tc>
          <w:tcPr>
            <w:tcW w:w="0" w:type="auto"/>
            <w:tcBorders>
              <w:top w:val="single" w:sz="1" w:space="0" w:color="000000"/>
              <w:bottom w:val="single" w:sz="1" w:space="0" w:color="000000"/>
            </w:tcBorders>
          </w:tcPr>
          <w:p w14:paraId="23FA64A8" w14:textId="77777777" w:rsidR="00D33BD0" w:rsidRDefault="00000000">
            <w:pPr>
              <w:spacing w:line="360" w:lineRule="auto"/>
            </w:pPr>
            <w:r>
              <w:rPr>
                <w:rFonts w:ascii="source sans 3" w:eastAsia="source sans 3" w:hAnsi="source sans 3" w:cs="source sans 3"/>
                <w:color w:val="000000"/>
                <w:sz w:val="17"/>
              </w:rPr>
              <w:t>Mechanism</w:t>
            </w:r>
          </w:p>
        </w:tc>
      </w:tr>
      <w:tr w:rsidR="00D33BD0" w14:paraId="40F9EDFB"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27D43A2" w14:textId="77777777" w:rsidR="00D33BD0" w:rsidRDefault="00000000">
            <w:pPr>
              <w:spacing w:line="360" w:lineRule="auto"/>
            </w:pPr>
            <w:r>
              <w:rPr>
                <w:rFonts w:ascii="source sans 3" w:eastAsia="source sans 3" w:hAnsi="source sans 3" w:cs="source sans 3"/>
                <w:color w:val="000000"/>
                <w:sz w:val="17"/>
              </w:rPr>
              <w:t>Acute, time-sensitive (AMI, stroke, surgery, emergency)</w:t>
            </w:r>
          </w:p>
        </w:tc>
        <w:tc>
          <w:tcPr>
            <w:tcW w:w="0" w:type="auto"/>
            <w:tcBorders>
              <w:top w:val="single" w:sz="1" w:space="0" w:color="000000"/>
              <w:bottom w:val="single" w:sz="1" w:space="0" w:color="000000"/>
              <w:right w:val="single" w:sz="1" w:space="0" w:color="000000"/>
            </w:tcBorders>
          </w:tcPr>
          <w:p w14:paraId="2A9886AE" w14:textId="77777777" w:rsidR="00D33BD0" w:rsidRDefault="00000000">
            <w:pPr>
              <w:spacing w:line="360" w:lineRule="auto"/>
            </w:pPr>
            <w:r>
              <w:rPr>
                <w:rFonts w:ascii="source sans 3" w:eastAsia="source sans 3" w:hAnsi="source sans 3" w:cs="source sans 3"/>
                <w:color w:val="000000"/>
                <w:sz w:val="17"/>
              </w:rPr>
              <w:t>Positive</w:t>
            </w:r>
          </w:p>
        </w:tc>
        <w:tc>
          <w:tcPr>
            <w:tcW w:w="0" w:type="auto"/>
            <w:tcBorders>
              <w:top w:val="single" w:sz="1" w:space="0" w:color="000000"/>
              <w:bottom w:val="single" w:sz="1" w:space="0" w:color="000000"/>
            </w:tcBorders>
          </w:tcPr>
          <w:p w14:paraId="3873791C" w14:textId="77777777" w:rsidR="00D33BD0" w:rsidRDefault="00000000">
            <w:pPr>
              <w:spacing w:line="360" w:lineRule="auto"/>
            </w:pPr>
            <w:r>
              <w:rPr>
                <w:rFonts w:ascii="source sans 3" w:eastAsia="source sans 3" w:hAnsi="source sans 3" w:cs="source sans 3"/>
                <w:color w:val="000000"/>
                <w:sz w:val="17"/>
              </w:rPr>
              <w:t>Timely, intensive guideline-concordant care can be decisive for survival</w:t>
            </w:r>
          </w:p>
        </w:tc>
      </w:tr>
      <w:tr w:rsidR="00D33BD0" w14:paraId="1921A76D"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F2B829C" w14:textId="77777777" w:rsidR="00D33BD0" w:rsidRDefault="00000000">
            <w:pPr>
              <w:spacing w:line="360" w:lineRule="auto"/>
            </w:pPr>
            <w:r>
              <w:rPr>
                <w:rFonts w:ascii="source sans 3" w:eastAsia="source sans 3" w:hAnsi="source sans 3" w:cs="source sans 3"/>
                <w:color w:val="000000"/>
                <w:sz w:val="17"/>
              </w:rPr>
              <w:t>Chronic, elective, supply-sensitive (most condition care)</w:t>
            </w:r>
          </w:p>
        </w:tc>
        <w:tc>
          <w:tcPr>
            <w:tcW w:w="0" w:type="auto"/>
            <w:tcBorders>
              <w:top w:val="single" w:sz="1" w:space="0" w:color="000000"/>
              <w:bottom w:val="single" w:sz="1" w:space="0" w:color="000000"/>
              <w:right w:val="single" w:sz="1" w:space="0" w:color="000000"/>
            </w:tcBorders>
          </w:tcPr>
          <w:p w14:paraId="533E7F00" w14:textId="77777777" w:rsidR="00D33BD0" w:rsidRDefault="00000000">
            <w:pPr>
              <w:spacing w:line="360" w:lineRule="auto"/>
            </w:pPr>
            <w:r>
              <w:rPr>
                <w:rFonts w:ascii="source sans 3" w:eastAsia="source sans 3" w:hAnsi="source sans 3" w:cs="source sans 3"/>
                <w:color w:val="000000"/>
                <w:sz w:val="17"/>
              </w:rPr>
              <w:t>None or negative</w:t>
            </w:r>
          </w:p>
        </w:tc>
        <w:tc>
          <w:tcPr>
            <w:tcW w:w="0" w:type="auto"/>
            <w:tcBorders>
              <w:top w:val="single" w:sz="1" w:space="0" w:color="000000"/>
              <w:bottom w:val="single" w:sz="1" w:space="0" w:color="000000"/>
            </w:tcBorders>
          </w:tcPr>
          <w:p w14:paraId="1F9B0529" w14:textId="77777777" w:rsidR="00D33BD0" w:rsidRDefault="00000000">
            <w:pPr>
              <w:spacing w:line="360" w:lineRule="auto"/>
            </w:pPr>
            <w:r>
              <w:rPr>
                <w:rFonts w:ascii="source sans 3" w:eastAsia="source sans 3" w:hAnsi="source sans 3" w:cs="source sans 3"/>
                <w:color w:val="000000"/>
                <w:sz w:val="17"/>
              </w:rPr>
              <w:t>Extra services reflect practice style and capacity, not need; overtreatment adds risk without benefit</w:t>
            </w:r>
          </w:p>
        </w:tc>
      </w:tr>
      <w:tr w:rsidR="00D33BD0" w14:paraId="46FEEEAA"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B20B68C" w14:textId="77777777" w:rsidR="00D33BD0" w:rsidRDefault="00000000">
            <w:pPr>
              <w:spacing w:line="360" w:lineRule="auto"/>
            </w:pPr>
            <w:r>
              <w:rPr>
                <w:rFonts w:ascii="source sans 3" w:eastAsia="source sans 3" w:hAnsi="source sans 3" w:cs="source sans 3"/>
                <w:color w:val="000000"/>
                <w:sz w:val="17"/>
              </w:rPr>
              <w:t>Price at the provider level (within same market)</w:t>
            </w:r>
          </w:p>
        </w:tc>
        <w:tc>
          <w:tcPr>
            <w:tcW w:w="0" w:type="auto"/>
            <w:tcBorders>
              <w:top w:val="single" w:sz="1" w:space="0" w:color="000000"/>
              <w:bottom w:val="single" w:sz="1" w:space="0" w:color="000000"/>
              <w:right w:val="single" w:sz="1" w:space="0" w:color="000000"/>
            </w:tcBorders>
          </w:tcPr>
          <w:p w14:paraId="7107EA4E" w14:textId="77777777" w:rsidR="00D33BD0" w:rsidRDefault="00000000">
            <w:pPr>
              <w:spacing w:line="360" w:lineRule="auto"/>
            </w:pPr>
            <w:r>
              <w:rPr>
                <w:rFonts w:ascii="source sans 3" w:eastAsia="source sans 3" w:hAnsi="source sans 3" w:cs="source sans 3"/>
                <w:color w:val="000000"/>
                <w:sz w:val="17"/>
              </w:rPr>
              <w:t>None</w:t>
            </w:r>
          </w:p>
        </w:tc>
        <w:tc>
          <w:tcPr>
            <w:tcW w:w="0" w:type="auto"/>
            <w:tcBorders>
              <w:top w:val="single" w:sz="1" w:space="0" w:color="000000"/>
              <w:bottom w:val="single" w:sz="1" w:space="0" w:color="000000"/>
            </w:tcBorders>
          </w:tcPr>
          <w:p w14:paraId="57B49D2F" w14:textId="77777777" w:rsidR="00D33BD0" w:rsidRDefault="00000000">
            <w:pPr>
              <w:spacing w:line="360" w:lineRule="auto"/>
            </w:pPr>
            <w:r>
              <w:rPr>
                <w:rFonts w:ascii="source sans 3" w:eastAsia="source sans 3" w:hAnsi="source sans 3" w:cs="source sans 3"/>
                <w:color w:val="000000"/>
                <w:sz w:val="17"/>
              </w:rPr>
              <w:t>Negotiated price reflects market leverage and reputation, not measured quality</w:t>
            </w:r>
          </w:p>
        </w:tc>
      </w:tr>
    </w:tbl>
    <w:p w14:paraId="3D16BA63" w14:textId="77777777" w:rsidR="00D33BD0" w:rsidRDefault="00D33BD0"/>
    <w:p w14:paraId="2BF93E82" w14:textId="77777777" w:rsidR="00D33BD0" w:rsidRDefault="00000000">
      <w:pPr>
        <w:spacing w:after="210" w:line="360" w:lineRule="auto"/>
      </w:pPr>
      <w:r>
        <w:rPr>
          <w:rFonts w:ascii="source serif 4" w:eastAsia="source serif 4" w:hAnsi="source serif 4" w:cs="source serif 4"/>
          <w:color w:val="000000"/>
        </w:rPr>
        <w:t xml:space="preserve">Fisher and colleagues' foundational 2003 analysis of Medicare regional spending variation established the core empirical finding: regions in the highest spending quintile spent roughly 60% more per capita than those in the lowest, delivering more visits, more tests, and more hospital days—yet beneficiaries in higher-spending regions had no better survival, no better functional status, and no greater satisfaction with care. Baicker and Chandra sharpened this finding, identifying that states with higher Medicare spending delivered </w:t>
      </w:r>
      <w:r>
        <w:rPr>
          <w:rFonts w:ascii="source serif 4" w:eastAsia="source serif 4" w:hAnsi="source serif 4" w:cs="source serif 4"/>
          <w:i/>
          <w:color w:val="000000"/>
        </w:rPr>
        <w:t>lower</w:t>
      </w:r>
      <w:r>
        <w:rPr>
          <w:rFonts w:ascii="source serif 4" w:eastAsia="source serif 4" w:hAnsi="source serif 4" w:cs="source serif 4"/>
          <w:color w:val="000000"/>
        </w:rPr>
        <w:t xml:space="preserve"> quality on 24 evidence-based process measures, a relationship linked to a workforce mix tilted toward specialists.[^2]</w:t>
      </w:r>
    </w:p>
    <w:p w14:paraId="13DFD333" w14:textId="77777777" w:rsidR="00D33BD0" w:rsidRDefault="00000000">
      <w:pPr>
        <w:spacing w:after="210" w:line="360" w:lineRule="auto"/>
      </w:pPr>
      <w:r>
        <w:rPr>
          <w:rFonts w:ascii="source serif 4" w:eastAsia="source serif 4" w:hAnsi="source serif 4" w:cs="source serif 4"/>
          <w:color w:val="000000"/>
        </w:rPr>
        <w:lastRenderedPageBreak/>
        <w:t>The positive exception is real and must be respected: Romley, Jena, and Goldman found that higher-spending California hospitals had lower risk-adjusted inpatient mortality for acute admissions, and Doyle's natural-experiment study of patients who fell ill while traveling showed that higher-intensity areas reduced mortality for acute cardiac events. Positive associations concentrate precisely where timely, guideline-concordant care is decisive. The error is to generalize from acute care—where more spending can save lives—to the chronic and elective landscape where most healthcare spending occurs and where the relationship is absent or negative.[^2]</w:t>
      </w:r>
    </w:p>
    <w:p w14:paraId="0CB61A6E" w14:textId="77777777" w:rsidR="00D33BD0" w:rsidRDefault="00000000">
      <w:pPr>
        <w:spacing w:before="315" w:after="105" w:line="360" w:lineRule="auto"/>
        <w:ind w:left="-30"/>
      </w:pPr>
      <w:bookmarkStart w:id="10" w:name="bm_3_3_price_specifically_shows_n_feb86a"/>
      <w:r>
        <w:rPr>
          <w:rFonts w:ascii="source serif 4" w:eastAsia="source serif 4" w:hAnsi="source serif 4" w:cs="source serif 4"/>
          <w:b/>
          <w:color w:val="000000"/>
          <w:sz w:val="24"/>
        </w:rPr>
        <w:t>3.3 Price Specifically Shows No Relationship to Quality</w:t>
      </w:r>
      <w:bookmarkEnd w:id="10"/>
    </w:p>
    <w:p w14:paraId="4120ABB4" w14:textId="77777777" w:rsidR="00D33BD0" w:rsidRDefault="00000000">
      <w:pPr>
        <w:spacing w:after="210" w:line="360" w:lineRule="auto"/>
      </w:pPr>
      <w:r>
        <w:rPr>
          <w:rFonts w:ascii="source serif 4" w:eastAsia="source serif 4" w:hAnsi="source serif 4" w:cs="source serif 4"/>
          <w:color w:val="000000"/>
        </w:rPr>
        <w:t xml:space="preserve">The most policy-relevant finding for purchasers is the one about </w:t>
      </w:r>
      <w:r>
        <w:rPr>
          <w:rFonts w:ascii="source serif 4" w:eastAsia="source serif 4" w:hAnsi="source serif 4" w:cs="source serif 4"/>
          <w:i/>
          <w:color w:val="000000"/>
        </w:rPr>
        <w:t>price</w:t>
      </w:r>
      <w:r>
        <w:rPr>
          <w:rFonts w:ascii="source serif 4" w:eastAsia="source serif 4" w:hAnsi="source serif 4" w:cs="source serif 4"/>
          <w:color w:val="000000"/>
        </w:rPr>
        <w:t xml:space="preserve"> specifically. Roberts, Mehrotra, and McWilliams compared high-price and low-price physician practices in the same markets and found that they "do not differ significantly on care quality or efficiency." A practice commanding a premium negotiated rate was, on measurable dimensions, indistinguishable from a lower-priced competitor. For purchasers deciding whether a higher-priced provider is worth a premium, this is close to a direct answer: on average, the premium buys market leverage and reputation, not demonstrably better care.[^2]</w:t>
      </w:r>
    </w:p>
    <w:p w14:paraId="1D67E5A5" w14:textId="77777777" w:rsidR="00D33BD0" w:rsidRDefault="00000000">
      <w:pPr>
        <w:spacing w:after="210" w:line="360" w:lineRule="auto"/>
      </w:pPr>
      <w:r>
        <w:rPr>
          <w:rFonts w:ascii="source serif 4" w:eastAsia="source serif 4" w:hAnsi="source serif 4" w:cs="source serif 4"/>
          <w:color w:val="000000"/>
        </w:rPr>
        <w:t xml:space="preserve">Cooper, Doyle, Graves, and Gruber's 2023 </w:t>
      </w:r>
      <w:r>
        <w:rPr>
          <w:rFonts w:ascii="source serif 4" w:eastAsia="source serif 4" w:hAnsi="source serif 4" w:cs="source serif 4"/>
          <w:i/>
          <w:color w:val="000000"/>
        </w:rPr>
        <w:t>Journal of Political Economy</w:t>
      </w:r>
      <w:r>
        <w:rPr>
          <w:rFonts w:ascii="source serif 4" w:eastAsia="source serif 4" w:hAnsi="source serif 4" w:cs="source serif 4"/>
          <w:color w:val="000000"/>
        </w:rPr>
        <w:t xml:space="preserve"> study, using ambulance dispatch as an instrumental variable, added a critical qualification: higher-priced hospitals improve survival </w:t>
      </w:r>
      <w:r>
        <w:rPr>
          <w:rFonts w:ascii="source serif 4" w:eastAsia="source serif 4" w:hAnsi="source serif 4" w:cs="source serif 4"/>
          <w:i/>
          <w:color w:val="000000"/>
        </w:rPr>
        <w:t>only in competitive markets</w:t>
      </w:r>
      <w:r>
        <w:rPr>
          <w:rFonts w:ascii="source serif 4" w:eastAsia="source serif 4" w:hAnsi="source serif 4" w:cs="source serif 4"/>
          <w:color w:val="000000"/>
        </w:rPr>
        <w:t xml:space="preserve"> and show </w:t>
      </w:r>
      <w:r>
        <w:rPr>
          <w:rFonts w:ascii="source serif 4" w:eastAsia="source serif 4" w:hAnsi="source serif 4" w:cs="source serif 4"/>
          <w:i/>
          <w:color w:val="000000"/>
        </w:rPr>
        <w:t>no quality advantage in concentrated markets</w:t>
      </w:r>
      <w:r>
        <w:rPr>
          <w:rFonts w:ascii="source serif 4" w:eastAsia="source serif 4" w:hAnsi="source serif 4" w:cs="source serif 4"/>
          <w:color w:val="000000"/>
        </w:rPr>
        <w:t>. This finding implicates hospital market consolidation as a mechanism by which higher prices persist without quality justification—a structural problem that payment reform rather than price transparency is best positioned to address.[^2]</w:t>
      </w:r>
    </w:p>
    <w:p w14:paraId="35E1A8D5" w14:textId="77777777" w:rsidR="00D33BD0" w:rsidRDefault="008335B1">
      <w:pPr>
        <w:spacing w:before="210" w:after="0" w:line="360" w:lineRule="auto"/>
      </w:pPr>
      <w:r>
        <w:rPr>
          <w:noProof/>
        </w:rPr>
      </w:r>
      <w:r>
        <w:rPr>
          <w:noProof/>
        </w:rPr>
        <w:pict w14:anchorId="5B6E6D57">
          <v:rect id="_x0000_s1037"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2D16CE91" w14:textId="77777777" w:rsidR="00D33BD0" w:rsidRDefault="00000000">
      <w:pPr>
        <w:spacing w:before="315" w:after="105" w:line="360" w:lineRule="auto"/>
        <w:ind w:left="-30"/>
      </w:pPr>
      <w:bookmarkStart w:id="11" w:name="bm_4_the_structure_of_episode_lev_8bab2e"/>
      <w:r>
        <w:rPr>
          <w:rFonts w:ascii="source serif 4" w:eastAsia="source serif 4" w:hAnsi="source serif 4" w:cs="source serif 4"/>
          <w:b/>
          <w:color w:val="000000"/>
          <w:sz w:val="24"/>
        </w:rPr>
        <w:t>4. The Structure of Episode-Level Cost Variance: Price vs. Efficiency</w:t>
      </w:r>
      <w:bookmarkEnd w:id="11"/>
    </w:p>
    <w:p w14:paraId="5EFF6CB0" w14:textId="77777777" w:rsidR="00D33BD0" w:rsidRDefault="00000000">
      <w:pPr>
        <w:spacing w:before="315" w:after="105" w:line="360" w:lineRule="auto"/>
        <w:ind w:left="-30"/>
      </w:pPr>
      <w:bookmarkStart w:id="12" w:name="bm_4_1_the_oxbridge_texas_episode_6f1e72"/>
      <w:r>
        <w:rPr>
          <w:rFonts w:ascii="source serif 4" w:eastAsia="source serif 4" w:hAnsi="source serif 4" w:cs="source serif 4"/>
          <w:b/>
          <w:color w:val="000000"/>
          <w:sz w:val="24"/>
        </w:rPr>
        <w:t>4.1 The Oxbridge Texas Episode Analysis</w:t>
      </w:r>
      <w:bookmarkEnd w:id="12"/>
    </w:p>
    <w:p w14:paraId="07F977E1" w14:textId="77777777" w:rsidR="00D33BD0" w:rsidRDefault="00000000">
      <w:pPr>
        <w:spacing w:after="210" w:line="360" w:lineRule="auto"/>
      </w:pPr>
      <w:r>
        <w:rPr>
          <w:rFonts w:ascii="source serif 4" w:eastAsia="source serif 4" w:hAnsi="source serif 4" w:cs="source serif 4"/>
          <w:color w:val="000000"/>
        </w:rPr>
        <w:t>The most direct empirical answer to the question of what drives cost differences between providers comes from an analysis of approximately 8.2 million risk-adjusted commercial insurance episodes spanning 131 clinically defined episode types, attributed to 72,776 provider care groups in the four largest Texas metropolitan areas—Dallas–Fort Worth, Houston, San Antonio, and Austin.[^1]</w:t>
      </w:r>
    </w:p>
    <w:p w14:paraId="0878A159" w14:textId="77777777" w:rsidR="00D33BD0" w:rsidRDefault="00000000">
      <w:pPr>
        <w:spacing w:after="210" w:line="360" w:lineRule="auto"/>
      </w:pPr>
      <w:r>
        <w:rPr>
          <w:rFonts w:ascii="source serif 4" w:eastAsia="source serif 4" w:hAnsi="source serif 4" w:cs="source serif 4"/>
          <w:color w:val="000000"/>
        </w:rPr>
        <w:t xml:space="preserve">Each episode was risk-adjusted for patient age, sex, ZIP code, clinical classification, and episode-relevant complications, so that differences in care-group cost cannot be attributed to provider case mix. Total episode cost was decomposed into two multiplicative components using a logarithmic variance </w:t>
      </w:r>
      <w:r>
        <w:rPr>
          <w:rFonts w:ascii="source serif 4" w:eastAsia="source serif 4" w:hAnsi="source serif 4" w:cs="source serif 4"/>
          <w:color w:val="000000"/>
        </w:rPr>
        <w:lastRenderedPageBreak/>
        <w:t xml:space="preserve">decomposition: a </w:t>
      </w:r>
      <w:r>
        <w:rPr>
          <w:rFonts w:ascii="source serif 4" w:eastAsia="source serif 4" w:hAnsi="source serif 4" w:cs="source serif 4"/>
          <w:i/>
          <w:color w:val="000000"/>
        </w:rPr>
        <w:t>price index</w:t>
      </w:r>
      <w:r>
        <w:rPr>
          <w:rFonts w:ascii="source serif 4" w:eastAsia="source serif 4" w:hAnsi="source serif 4" w:cs="source serif 4"/>
          <w:color w:val="000000"/>
        </w:rPr>
        <w:t xml:space="preserve"> (whether the care group's unit prices are above or below market) and an </w:t>
      </w:r>
      <w:r>
        <w:rPr>
          <w:rFonts w:ascii="source serif 4" w:eastAsia="source serif 4" w:hAnsi="source serif 4" w:cs="source serif 4"/>
          <w:i/>
          <w:color w:val="000000"/>
        </w:rPr>
        <w:t>efficiency index</w:t>
      </w:r>
      <w:r>
        <w:rPr>
          <w:rFonts w:ascii="source serif 4" w:eastAsia="source serif 4" w:hAnsi="source serif 4" w:cs="source serif 4"/>
          <w:color w:val="000000"/>
        </w:rPr>
        <w:t xml:space="preserve"> (whether the care group delivers more or fewer services than the market average for comparable patients).[^1]</w:t>
      </w:r>
    </w:p>
    <w:p w14:paraId="16D28610" w14:textId="77777777" w:rsidR="00D33BD0" w:rsidRDefault="00000000">
      <w:pPr>
        <w:spacing w:before="315" w:after="105" w:line="360" w:lineRule="auto"/>
        <w:ind w:left="-30"/>
      </w:pPr>
      <w:bookmarkStart w:id="13" w:name="bm_4_2_efficiency_not_price_gover_483172"/>
      <w:r>
        <w:rPr>
          <w:rFonts w:ascii="source serif 4" w:eastAsia="source serif 4" w:hAnsi="source serif 4" w:cs="source serif 4"/>
          <w:b/>
          <w:color w:val="000000"/>
          <w:sz w:val="24"/>
        </w:rPr>
        <w:t>4.2 Efficiency, Not Price, Governs Cost Variance</w:t>
      </w:r>
      <w:bookmarkEnd w:id="13"/>
    </w:p>
    <w:p w14:paraId="256DC62B" w14:textId="77777777" w:rsidR="00D33BD0" w:rsidRDefault="00000000">
      <w:pPr>
        <w:spacing w:after="210" w:line="360" w:lineRule="auto"/>
      </w:pPr>
      <w:r>
        <w:rPr>
          <w:rFonts w:ascii="source serif 4" w:eastAsia="source serif 4" w:hAnsi="source serif 4" w:cs="source serif 4"/>
          <w:color w:val="000000"/>
        </w:rPr>
        <w:t>The results are striking in their clarity. Across the 131 episode types (equal weight), differences in how efficiently care is delivered accounted for 88% of the variance in episode cost between care groups; unit price accounted for 12%. Weighted by the actual dollars flowing through each episode type—the economically meaningful weighting—efficiency accounted for more than 99% of variance and price for less than 1%:[^1]</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3611"/>
        <w:gridCol w:w="1492"/>
        <w:gridCol w:w="1530"/>
      </w:tblGrid>
      <w:tr w:rsidR="00D33BD0" w14:paraId="74F629A6"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F58157E" w14:textId="77777777" w:rsidR="00D33BD0" w:rsidRDefault="00000000">
            <w:pPr>
              <w:spacing w:line="360" w:lineRule="auto"/>
            </w:pPr>
            <w:r>
              <w:rPr>
                <w:rFonts w:ascii="source sans 3" w:eastAsia="source sans 3" w:hAnsi="source sans 3" w:cs="source sans 3"/>
                <w:color w:val="000000"/>
                <w:sz w:val="17"/>
              </w:rPr>
              <w:t>Driver of Cost Variance</w:t>
            </w:r>
          </w:p>
        </w:tc>
        <w:tc>
          <w:tcPr>
            <w:tcW w:w="0" w:type="auto"/>
            <w:tcBorders>
              <w:top w:val="single" w:sz="1" w:space="0" w:color="000000"/>
              <w:bottom w:val="single" w:sz="1" w:space="0" w:color="000000"/>
              <w:right w:val="single" w:sz="1" w:space="0" w:color="000000"/>
            </w:tcBorders>
          </w:tcPr>
          <w:p w14:paraId="713D739D" w14:textId="77777777" w:rsidR="00D33BD0" w:rsidRDefault="00000000">
            <w:pPr>
              <w:spacing w:line="360" w:lineRule="auto"/>
            </w:pPr>
            <w:r>
              <w:rPr>
                <w:rFonts w:ascii="source sans 3" w:eastAsia="source sans 3" w:hAnsi="source sans 3" w:cs="source sans 3"/>
                <w:color w:val="000000"/>
                <w:sz w:val="17"/>
              </w:rPr>
              <w:t>Equal-Weighted</w:t>
            </w:r>
          </w:p>
        </w:tc>
        <w:tc>
          <w:tcPr>
            <w:tcW w:w="0" w:type="auto"/>
            <w:tcBorders>
              <w:top w:val="single" w:sz="1" w:space="0" w:color="000000"/>
              <w:bottom w:val="single" w:sz="1" w:space="0" w:color="000000"/>
            </w:tcBorders>
          </w:tcPr>
          <w:p w14:paraId="5D893D01" w14:textId="77777777" w:rsidR="00D33BD0" w:rsidRDefault="00000000">
            <w:pPr>
              <w:spacing w:line="360" w:lineRule="auto"/>
            </w:pPr>
            <w:r>
              <w:rPr>
                <w:rFonts w:ascii="source sans 3" w:eastAsia="source sans 3" w:hAnsi="source sans 3" w:cs="source sans 3"/>
                <w:color w:val="000000"/>
                <w:sz w:val="17"/>
              </w:rPr>
              <w:t>Dollar-Weighted</w:t>
            </w:r>
          </w:p>
        </w:tc>
      </w:tr>
      <w:tr w:rsidR="00D33BD0" w14:paraId="7024EA5D"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2A8C0CA" w14:textId="77777777" w:rsidR="00D33BD0" w:rsidRDefault="00000000">
            <w:pPr>
              <w:spacing w:line="360" w:lineRule="auto"/>
            </w:pPr>
            <w:r>
              <w:rPr>
                <w:rFonts w:ascii="source sans 3" w:eastAsia="source sans 3" w:hAnsi="source sans 3" w:cs="source sans 3"/>
                <w:color w:val="000000"/>
                <w:sz w:val="17"/>
              </w:rPr>
              <w:t>Efficiency (quantity and intensity of services)</w:t>
            </w:r>
          </w:p>
        </w:tc>
        <w:tc>
          <w:tcPr>
            <w:tcW w:w="0" w:type="auto"/>
            <w:tcBorders>
              <w:top w:val="single" w:sz="1" w:space="0" w:color="000000"/>
              <w:bottom w:val="single" w:sz="1" w:space="0" w:color="000000"/>
              <w:right w:val="single" w:sz="1" w:space="0" w:color="000000"/>
            </w:tcBorders>
          </w:tcPr>
          <w:p w14:paraId="3EF8C60C" w14:textId="77777777" w:rsidR="00D33BD0" w:rsidRDefault="00000000">
            <w:pPr>
              <w:spacing w:line="360" w:lineRule="auto"/>
            </w:pPr>
            <w:r>
              <w:rPr>
                <w:rFonts w:ascii="source sans 3" w:eastAsia="source sans 3" w:hAnsi="source sans 3" w:cs="source sans 3"/>
                <w:color w:val="000000"/>
                <w:sz w:val="17"/>
              </w:rPr>
              <w:t>88%</w:t>
            </w:r>
          </w:p>
        </w:tc>
        <w:tc>
          <w:tcPr>
            <w:tcW w:w="0" w:type="auto"/>
            <w:tcBorders>
              <w:top w:val="single" w:sz="1" w:space="0" w:color="000000"/>
              <w:bottom w:val="single" w:sz="1" w:space="0" w:color="000000"/>
            </w:tcBorders>
          </w:tcPr>
          <w:p w14:paraId="68D28AD5" w14:textId="77777777" w:rsidR="00D33BD0" w:rsidRDefault="00000000">
            <w:pPr>
              <w:spacing w:line="360" w:lineRule="auto"/>
            </w:pPr>
            <w:r>
              <w:rPr>
                <w:rFonts w:ascii="source sans 3" w:eastAsia="source sans 3" w:hAnsi="source sans 3" w:cs="source sans 3"/>
                <w:color w:val="000000"/>
                <w:sz w:val="17"/>
              </w:rPr>
              <w:t>99.2%</w:t>
            </w:r>
          </w:p>
        </w:tc>
      </w:tr>
      <w:tr w:rsidR="00D33BD0" w14:paraId="60DFF0EA"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33FDB95" w14:textId="77777777" w:rsidR="00D33BD0" w:rsidRDefault="00000000">
            <w:pPr>
              <w:spacing w:line="360" w:lineRule="auto"/>
            </w:pPr>
            <w:r>
              <w:rPr>
                <w:rFonts w:ascii="source sans 3" w:eastAsia="source sans 3" w:hAnsi="source sans 3" w:cs="source sans 3"/>
                <w:color w:val="000000"/>
                <w:sz w:val="17"/>
              </w:rPr>
              <w:t>Unit price (fee schedule)</w:t>
            </w:r>
          </w:p>
        </w:tc>
        <w:tc>
          <w:tcPr>
            <w:tcW w:w="0" w:type="auto"/>
            <w:tcBorders>
              <w:top w:val="single" w:sz="1" w:space="0" w:color="000000"/>
              <w:bottom w:val="single" w:sz="1" w:space="0" w:color="000000"/>
              <w:right w:val="single" w:sz="1" w:space="0" w:color="000000"/>
            </w:tcBorders>
          </w:tcPr>
          <w:p w14:paraId="53D7CF40" w14:textId="77777777" w:rsidR="00D33BD0" w:rsidRDefault="00000000">
            <w:pPr>
              <w:spacing w:line="360" w:lineRule="auto"/>
            </w:pPr>
            <w:r>
              <w:rPr>
                <w:rFonts w:ascii="source sans 3" w:eastAsia="source sans 3" w:hAnsi="source sans 3" w:cs="source sans 3"/>
                <w:color w:val="000000"/>
                <w:sz w:val="17"/>
              </w:rPr>
              <w:t>12%</w:t>
            </w:r>
          </w:p>
        </w:tc>
        <w:tc>
          <w:tcPr>
            <w:tcW w:w="0" w:type="auto"/>
            <w:tcBorders>
              <w:top w:val="single" w:sz="1" w:space="0" w:color="000000"/>
              <w:bottom w:val="single" w:sz="1" w:space="0" w:color="000000"/>
            </w:tcBorders>
          </w:tcPr>
          <w:p w14:paraId="1936A836" w14:textId="77777777" w:rsidR="00D33BD0" w:rsidRDefault="00000000">
            <w:pPr>
              <w:spacing w:line="360" w:lineRule="auto"/>
            </w:pPr>
            <w:r>
              <w:rPr>
                <w:rFonts w:ascii="source sans 3" w:eastAsia="source sans 3" w:hAnsi="source sans 3" w:cs="source sans 3"/>
                <w:color w:val="000000"/>
                <w:sz w:val="17"/>
              </w:rPr>
              <w:t>0.8%</w:t>
            </w:r>
          </w:p>
        </w:tc>
      </w:tr>
    </w:tbl>
    <w:p w14:paraId="0A2A1DEC" w14:textId="77777777" w:rsidR="00D33BD0" w:rsidRDefault="00D33BD0"/>
    <w:p w14:paraId="0CCAA334" w14:textId="77777777" w:rsidR="00D33BD0" w:rsidRDefault="00000000">
      <w:pPr>
        <w:spacing w:after="210" w:line="360" w:lineRule="auto"/>
      </w:pPr>
      <w:r>
        <w:rPr>
          <w:rFonts w:ascii="source serif 4" w:eastAsia="source serif 4" w:hAnsi="source serif 4" w:cs="source serif 4"/>
          <w:i/>
          <w:color w:val="000000"/>
        </w:rPr>
        <w:t>Source: Oxbridge Health Analytics Texas episode analysis, 8.2 million episodes, single national-insurer fee schedule.</w:t>
      </w:r>
      <w:r>
        <w:rPr>
          <w:rFonts w:ascii="source serif 4" w:eastAsia="source serif 4" w:hAnsi="source serif 4" w:cs="source serif 4"/>
          <w:color w:val="000000"/>
        </w:rPr>
        <w:t>[^1]</w:t>
      </w:r>
    </w:p>
    <w:p w14:paraId="54E3CBC5" w14:textId="77777777" w:rsidR="00D33BD0" w:rsidRDefault="00000000">
      <w:pPr>
        <w:spacing w:after="210" w:line="360" w:lineRule="auto"/>
      </w:pPr>
      <w:r>
        <w:rPr>
          <w:rFonts w:ascii="source serif 4" w:eastAsia="source serif 4" w:hAnsi="source serif 4" w:cs="source serif 4"/>
          <w:color w:val="000000"/>
        </w:rPr>
        <w:t>The strategies on which purchasers have relied for three decades—reference-based pricing, fee-schedule negotiation, network narrowing—address at most the smaller bucket. Prior authorization and utilization review do reach the larger one, but only service by service and case by case, contesting individual clinical decisions after they are made rather than reshaping the pattern that produces them.[^1]</w:t>
      </w:r>
    </w:p>
    <w:p w14:paraId="420D2227" w14:textId="77777777" w:rsidR="00D33BD0" w:rsidRDefault="00000000">
      <w:pPr>
        <w:spacing w:before="315" w:after="105" w:line="360" w:lineRule="auto"/>
        <w:ind w:left="-30"/>
      </w:pPr>
      <w:bookmarkStart w:id="14" w:name="bm_4_3_condition_episodes_vs_proc_317175"/>
      <w:r>
        <w:rPr>
          <w:rFonts w:ascii="source serif 4" w:eastAsia="source serif 4" w:hAnsi="source serif 4" w:cs="source serif 4"/>
          <w:b/>
          <w:color w:val="000000"/>
          <w:sz w:val="24"/>
        </w:rPr>
        <w:t>4.3 Condition Episodes vs. Procedure Episodes</w:t>
      </w:r>
      <w:bookmarkEnd w:id="14"/>
    </w:p>
    <w:p w14:paraId="0CE406FE" w14:textId="77777777" w:rsidR="00D33BD0" w:rsidRDefault="00000000">
      <w:pPr>
        <w:spacing w:after="210" w:line="360" w:lineRule="auto"/>
      </w:pPr>
      <w:r>
        <w:rPr>
          <w:rFonts w:ascii="source serif 4" w:eastAsia="source serif 4" w:hAnsi="source serif 4" w:cs="source serif 4"/>
          <w:color w:val="000000"/>
        </w:rPr>
        <w:t>Analyzed separately, conditions and procedures invert the pattern:[^1]</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4464"/>
        <w:gridCol w:w="1031"/>
        <w:gridCol w:w="1042"/>
        <w:gridCol w:w="1823"/>
      </w:tblGrid>
      <w:tr w:rsidR="00D33BD0" w14:paraId="7DE7E7FE"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2ECE311" w14:textId="77777777" w:rsidR="00D33BD0" w:rsidRDefault="00000000">
            <w:pPr>
              <w:spacing w:line="360" w:lineRule="auto"/>
            </w:pPr>
            <w:r>
              <w:rPr>
                <w:rFonts w:ascii="source sans 3" w:eastAsia="source sans 3" w:hAnsi="source sans 3" w:cs="source sans 3"/>
                <w:color w:val="000000"/>
                <w:sz w:val="17"/>
              </w:rPr>
              <w:t>Episode Type</w:t>
            </w:r>
          </w:p>
        </w:tc>
        <w:tc>
          <w:tcPr>
            <w:tcW w:w="0" w:type="auto"/>
            <w:tcBorders>
              <w:top w:val="single" w:sz="1" w:space="0" w:color="000000"/>
              <w:bottom w:val="single" w:sz="1" w:space="0" w:color="000000"/>
              <w:right w:val="single" w:sz="1" w:space="0" w:color="000000"/>
            </w:tcBorders>
          </w:tcPr>
          <w:p w14:paraId="74CFBDC4" w14:textId="77777777" w:rsidR="00D33BD0" w:rsidRDefault="00000000">
            <w:pPr>
              <w:spacing w:line="360" w:lineRule="auto"/>
            </w:pPr>
            <w:r>
              <w:rPr>
                <w:rFonts w:ascii="source sans 3" w:eastAsia="source sans 3" w:hAnsi="source sans 3" w:cs="source sans 3"/>
                <w:color w:val="000000"/>
                <w:sz w:val="17"/>
              </w:rPr>
              <w:t>Efficiency</w:t>
            </w:r>
          </w:p>
        </w:tc>
        <w:tc>
          <w:tcPr>
            <w:tcW w:w="0" w:type="auto"/>
            <w:tcBorders>
              <w:top w:val="single" w:sz="1" w:space="0" w:color="000000"/>
              <w:bottom w:val="single" w:sz="1" w:space="0" w:color="000000"/>
              <w:right w:val="single" w:sz="1" w:space="0" w:color="000000"/>
            </w:tcBorders>
          </w:tcPr>
          <w:p w14:paraId="60B00A0D" w14:textId="77777777" w:rsidR="00D33BD0" w:rsidRDefault="00000000">
            <w:pPr>
              <w:spacing w:line="360" w:lineRule="auto"/>
            </w:pPr>
            <w:r>
              <w:rPr>
                <w:rFonts w:ascii="source sans 3" w:eastAsia="source sans 3" w:hAnsi="source sans 3" w:cs="source sans 3"/>
                <w:color w:val="000000"/>
                <w:sz w:val="17"/>
              </w:rPr>
              <w:t>Unit Price</w:t>
            </w:r>
          </w:p>
        </w:tc>
        <w:tc>
          <w:tcPr>
            <w:tcW w:w="0" w:type="auto"/>
            <w:tcBorders>
              <w:top w:val="single" w:sz="1" w:space="0" w:color="000000"/>
              <w:bottom w:val="single" w:sz="1" w:space="0" w:color="000000"/>
            </w:tcBorders>
          </w:tcPr>
          <w:p w14:paraId="5C7E8CAE" w14:textId="77777777" w:rsidR="00D33BD0" w:rsidRDefault="00000000">
            <w:pPr>
              <w:spacing w:line="360" w:lineRule="auto"/>
            </w:pPr>
            <w:r>
              <w:rPr>
                <w:rFonts w:ascii="source sans 3" w:eastAsia="source sans 3" w:hAnsi="source sans 3" w:cs="source sans 3"/>
                <w:color w:val="000000"/>
                <w:sz w:val="17"/>
              </w:rPr>
              <w:t>Share of Total Spend</w:t>
            </w:r>
          </w:p>
        </w:tc>
      </w:tr>
      <w:tr w:rsidR="00D33BD0" w14:paraId="68B2E29A"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4BBF3FC" w14:textId="77777777" w:rsidR="00D33BD0" w:rsidRDefault="00000000">
            <w:pPr>
              <w:spacing w:line="360" w:lineRule="auto"/>
            </w:pPr>
            <w:r>
              <w:rPr>
                <w:rFonts w:ascii="source sans 3" w:eastAsia="source sans 3" w:hAnsi="source sans 3" w:cs="source sans 3"/>
                <w:color w:val="000000"/>
                <w:sz w:val="17"/>
              </w:rPr>
              <w:t>Condition episodes (diabetes, depression, back pain, etc.)</w:t>
            </w:r>
          </w:p>
        </w:tc>
        <w:tc>
          <w:tcPr>
            <w:tcW w:w="0" w:type="auto"/>
            <w:tcBorders>
              <w:top w:val="single" w:sz="1" w:space="0" w:color="000000"/>
              <w:bottom w:val="single" w:sz="1" w:space="0" w:color="000000"/>
              <w:right w:val="single" w:sz="1" w:space="0" w:color="000000"/>
            </w:tcBorders>
          </w:tcPr>
          <w:p w14:paraId="798BD5FF" w14:textId="77777777" w:rsidR="00D33BD0" w:rsidRDefault="00000000">
            <w:pPr>
              <w:spacing w:line="360" w:lineRule="auto"/>
            </w:pPr>
            <w:r>
              <w:rPr>
                <w:rFonts w:ascii="source sans 3" w:eastAsia="source sans 3" w:hAnsi="source sans 3" w:cs="source sans 3"/>
                <w:color w:val="000000"/>
                <w:sz w:val="17"/>
              </w:rPr>
              <w:t>~100%</w:t>
            </w:r>
          </w:p>
        </w:tc>
        <w:tc>
          <w:tcPr>
            <w:tcW w:w="0" w:type="auto"/>
            <w:tcBorders>
              <w:top w:val="single" w:sz="1" w:space="0" w:color="000000"/>
              <w:bottom w:val="single" w:sz="1" w:space="0" w:color="000000"/>
              <w:right w:val="single" w:sz="1" w:space="0" w:color="000000"/>
            </w:tcBorders>
          </w:tcPr>
          <w:p w14:paraId="049D9479" w14:textId="77777777" w:rsidR="00D33BD0" w:rsidRDefault="00000000">
            <w:pPr>
              <w:spacing w:line="360" w:lineRule="auto"/>
            </w:pPr>
            <w:r>
              <w:rPr>
                <w:rFonts w:ascii="source sans 3" w:eastAsia="source sans 3" w:hAnsi="source sans 3" w:cs="source sans 3"/>
                <w:color w:val="000000"/>
                <w:sz w:val="17"/>
              </w:rPr>
              <w:t>~0%</w:t>
            </w:r>
          </w:p>
        </w:tc>
        <w:tc>
          <w:tcPr>
            <w:tcW w:w="0" w:type="auto"/>
            <w:tcBorders>
              <w:top w:val="single" w:sz="1" w:space="0" w:color="000000"/>
              <w:bottom w:val="single" w:sz="1" w:space="0" w:color="000000"/>
            </w:tcBorders>
          </w:tcPr>
          <w:p w14:paraId="2C558A99" w14:textId="77777777" w:rsidR="00D33BD0" w:rsidRDefault="00000000">
            <w:pPr>
              <w:spacing w:line="360" w:lineRule="auto"/>
            </w:pPr>
            <w:r>
              <w:rPr>
                <w:rFonts w:ascii="source sans 3" w:eastAsia="source sans 3" w:hAnsi="source sans 3" w:cs="source sans 3"/>
                <w:color w:val="000000"/>
                <w:sz w:val="17"/>
              </w:rPr>
              <w:t>~83%</w:t>
            </w:r>
          </w:p>
        </w:tc>
      </w:tr>
      <w:tr w:rsidR="00D33BD0" w14:paraId="05779582"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1AC11AD" w14:textId="77777777" w:rsidR="00D33BD0" w:rsidRDefault="00000000">
            <w:pPr>
              <w:spacing w:line="360" w:lineRule="auto"/>
            </w:pPr>
            <w:r>
              <w:rPr>
                <w:rFonts w:ascii="source sans 3" w:eastAsia="source sans 3" w:hAnsi="source sans 3" w:cs="source sans 3"/>
                <w:color w:val="000000"/>
                <w:sz w:val="17"/>
              </w:rPr>
              <w:t>Procedure episodes (surgery, imaging, etc.)</w:t>
            </w:r>
          </w:p>
        </w:tc>
        <w:tc>
          <w:tcPr>
            <w:tcW w:w="0" w:type="auto"/>
            <w:tcBorders>
              <w:top w:val="single" w:sz="1" w:space="0" w:color="000000"/>
              <w:bottom w:val="single" w:sz="1" w:space="0" w:color="000000"/>
              <w:right w:val="single" w:sz="1" w:space="0" w:color="000000"/>
            </w:tcBorders>
          </w:tcPr>
          <w:p w14:paraId="312EEA9F" w14:textId="77777777" w:rsidR="00D33BD0" w:rsidRDefault="00000000">
            <w:pPr>
              <w:spacing w:line="360" w:lineRule="auto"/>
            </w:pPr>
            <w:r>
              <w:rPr>
                <w:rFonts w:ascii="source sans 3" w:eastAsia="source sans 3" w:hAnsi="source sans 3" w:cs="source sans 3"/>
                <w:color w:val="000000"/>
                <w:sz w:val="17"/>
              </w:rPr>
              <w:t>~11%</w:t>
            </w:r>
          </w:p>
        </w:tc>
        <w:tc>
          <w:tcPr>
            <w:tcW w:w="0" w:type="auto"/>
            <w:tcBorders>
              <w:top w:val="single" w:sz="1" w:space="0" w:color="000000"/>
              <w:bottom w:val="single" w:sz="1" w:space="0" w:color="000000"/>
              <w:right w:val="single" w:sz="1" w:space="0" w:color="000000"/>
            </w:tcBorders>
          </w:tcPr>
          <w:p w14:paraId="6FEBA841" w14:textId="77777777" w:rsidR="00D33BD0" w:rsidRDefault="00000000">
            <w:pPr>
              <w:spacing w:line="360" w:lineRule="auto"/>
            </w:pPr>
            <w:r>
              <w:rPr>
                <w:rFonts w:ascii="source sans 3" w:eastAsia="source sans 3" w:hAnsi="source sans 3" w:cs="source sans 3"/>
                <w:color w:val="000000"/>
                <w:sz w:val="17"/>
              </w:rPr>
              <w:t>~89%</w:t>
            </w:r>
          </w:p>
        </w:tc>
        <w:tc>
          <w:tcPr>
            <w:tcW w:w="0" w:type="auto"/>
            <w:tcBorders>
              <w:top w:val="single" w:sz="1" w:space="0" w:color="000000"/>
              <w:bottom w:val="single" w:sz="1" w:space="0" w:color="000000"/>
            </w:tcBorders>
          </w:tcPr>
          <w:p w14:paraId="3EA2C54B" w14:textId="77777777" w:rsidR="00D33BD0" w:rsidRDefault="00000000">
            <w:pPr>
              <w:spacing w:line="360" w:lineRule="auto"/>
            </w:pPr>
            <w:r>
              <w:rPr>
                <w:rFonts w:ascii="source sans 3" w:eastAsia="source sans 3" w:hAnsi="source sans 3" w:cs="source sans 3"/>
                <w:color w:val="000000"/>
                <w:sz w:val="17"/>
              </w:rPr>
              <w:t>~17%</w:t>
            </w:r>
          </w:p>
        </w:tc>
      </w:tr>
    </w:tbl>
    <w:p w14:paraId="57AF45BC" w14:textId="77777777" w:rsidR="00D33BD0" w:rsidRDefault="00D33BD0"/>
    <w:p w14:paraId="7A132F42" w14:textId="77777777" w:rsidR="00D33BD0" w:rsidRDefault="00000000">
      <w:pPr>
        <w:spacing w:after="210" w:line="360" w:lineRule="auto"/>
      </w:pPr>
      <w:r>
        <w:rPr>
          <w:rFonts w:ascii="source serif 4" w:eastAsia="source serif 4" w:hAnsi="source serif 4" w:cs="source serif 4"/>
          <w:i/>
          <w:color w:val="000000"/>
        </w:rPr>
        <w:t>Source: Oxbridge Texas episode analysis.</w:t>
      </w:r>
      <w:r>
        <w:rPr>
          <w:rFonts w:ascii="source serif 4" w:eastAsia="source serif 4" w:hAnsi="source serif 4" w:cs="source serif 4"/>
          <w:color w:val="000000"/>
        </w:rPr>
        <w:t>[^1]</w:t>
      </w:r>
    </w:p>
    <w:p w14:paraId="4D0901BE" w14:textId="77777777" w:rsidR="00D33BD0" w:rsidRDefault="00000000">
      <w:pPr>
        <w:spacing w:after="210" w:line="360" w:lineRule="auto"/>
      </w:pPr>
      <w:r>
        <w:rPr>
          <w:rFonts w:ascii="source serif 4" w:eastAsia="source serif 4" w:hAnsi="source serif 4" w:cs="source serif 4"/>
          <w:color w:val="000000"/>
        </w:rPr>
        <w:t xml:space="preserve">The implication is profound: most commercial cost-management tools—surgical bundles, centers of excellence, reference-based pricing for procedures—operate on the 17% of spending that comes from procedures and leave largely untouched the 83% that comes from conditions, where variance is almost </w:t>
      </w:r>
      <w:r>
        <w:rPr>
          <w:rFonts w:ascii="source serif 4" w:eastAsia="source serif 4" w:hAnsi="source serif 4" w:cs="source serif 4"/>
          <w:color w:val="000000"/>
        </w:rPr>
        <w:lastRenderedPageBreak/>
        <w:t>entirely a function of how care is delivered. Disease management and episode accountability for conditions are the underutilized levers matched to the larger share of the problem.[^1]</w:t>
      </w:r>
    </w:p>
    <w:p w14:paraId="6D94BF25" w14:textId="77777777" w:rsidR="00D33BD0" w:rsidRDefault="00000000">
      <w:pPr>
        <w:spacing w:before="315" w:after="105" w:line="360" w:lineRule="auto"/>
        <w:ind w:left="-30"/>
      </w:pPr>
      <w:bookmarkStart w:id="15" w:name="bm_4_4_the_magnitude_of_observed_b233f7"/>
      <w:r>
        <w:rPr>
          <w:rFonts w:ascii="source serif 4" w:eastAsia="source serif 4" w:hAnsi="source serif 4" w:cs="source serif 4"/>
          <w:b/>
          <w:color w:val="000000"/>
          <w:sz w:val="24"/>
        </w:rPr>
        <w:t>4.4 The Magnitude of Observed Variation</w:t>
      </w:r>
      <w:bookmarkEnd w:id="15"/>
    </w:p>
    <w:p w14:paraId="7E75E892" w14:textId="77777777" w:rsidR="00D33BD0" w:rsidRDefault="00000000">
      <w:pPr>
        <w:spacing w:after="210" w:line="360" w:lineRule="auto"/>
      </w:pPr>
      <w:r>
        <w:rPr>
          <w:rFonts w:ascii="source serif 4" w:eastAsia="source serif 4" w:hAnsi="source serif 4" w:cs="source serif 4"/>
          <w:color w:val="000000"/>
        </w:rPr>
        <w:t>Before attributing the dispersion to any specific cause, it is worth observing its scale. Within the same metropolitan area, for the same clinical problem, and after risk adjustment, the gap between the least and most expensive care group for a single episode is routinely measured in multiples rather than percentages:[^1]</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030"/>
        <w:gridCol w:w="1099"/>
        <w:gridCol w:w="1203"/>
        <w:gridCol w:w="1232"/>
        <w:gridCol w:w="737"/>
      </w:tblGrid>
      <w:tr w:rsidR="00D33BD0" w14:paraId="64067137"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C682C18" w14:textId="77777777" w:rsidR="00D33BD0" w:rsidRDefault="00000000">
            <w:pPr>
              <w:spacing w:line="360" w:lineRule="auto"/>
            </w:pPr>
            <w:r>
              <w:rPr>
                <w:rFonts w:ascii="source sans 3" w:eastAsia="source sans 3" w:hAnsi="source sans 3" w:cs="source sans 3"/>
                <w:color w:val="000000"/>
                <w:sz w:val="17"/>
              </w:rPr>
              <w:t>Episode</w:t>
            </w:r>
          </w:p>
        </w:tc>
        <w:tc>
          <w:tcPr>
            <w:tcW w:w="0" w:type="auto"/>
            <w:tcBorders>
              <w:top w:val="single" w:sz="1" w:space="0" w:color="000000"/>
              <w:bottom w:val="single" w:sz="1" w:space="0" w:color="000000"/>
              <w:right w:val="single" w:sz="1" w:space="0" w:color="000000"/>
            </w:tcBorders>
          </w:tcPr>
          <w:p w14:paraId="13703C5C" w14:textId="77777777" w:rsidR="00D33BD0" w:rsidRDefault="00000000">
            <w:pPr>
              <w:spacing w:line="360" w:lineRule="auto"/>
            </w:pPr>
            <w:r>
              <w:rPr>
                <w:rFonts w:ascii="source sans 3" w:eastAsia="source sans 3" w:hAnsi="source sans 3" w:cs="source sans 3"/>
                <w:color w:val="000000"/>
                <w:sz w:val="17"/>
              </w:rPr>
              <w:t>Metro</w:t>
            </w:r>
          </w:p>
        </w:tc>
        <w:tc>
          <w:tcPr>
            <w:tcW w:w="0" w:type="auto"/>
            <w:tcBorders>
              <w:top w:val="single" w:sz="1" w:space="0" w:color="000000"/>
              <w:bottom w:val="single" w:sz="1" w:space="0" w:color="000000"/>
              <w:right w:val="single" w:sz="1" w:space="0" w:color="000000"/>
            </w:tcBorders>
          </w:tcPr>
          <w:p w14:paraId="53C84C45" w14:textId="77777777" w:rsidR="00D33BD0" w:rsidRDefault="00000000">
            <w:pPr>
              <w:spacing w:line="360" w:lineRule="auto"/>
            </w:pPr>
            <w:r>
              <w:rPr>
                <w:rFonts w:ascii="source sans 3" w:eastAsia="source sans 3" w:hAnsi="source sans 3" w:cs="source sans 3"/>
                <w:color w:val="000000"/>
                <w:sz w:val="17"/>
              </w:rPr>
              <w:t>Lowest Cost</w:t>
            </w:r>
          </w:p>
        </w:tc>
        <w:tc>
          <w:tcPr>
            <w:tcW w:w="0" w:type="auto"/>
            <w:tcBorders>
              <w:top w:val="single" w:sz="1" w:space="0" w:color="000000"/>
              <w:bottom w:val="single" w:sz="1" w:space="0" w:color="000000"/>
              <w:right w:val="single" w:sz="1" w:space="0" w:color="000000"/>
            </w:tcBorders>
          </w:tcPr>
          <w:p w14:paraId="4622CB68" w14:textId="77777777" w:rsidR="00D33BD0" w:rsidRDefault="00000000">
            <w:pPr>
              <w:spacing w:line="360" w:lineRule="auto"/>
            </w:pPr>
            <w:r>
              <w:rPr>
                <w:rFonts w:ascii="source sans 3" w:eastAsia="source sans 3" w:hAnsi="source sans 3" w:cs="source sans 3"/>
                <w:color w:val="000000"/>
                <w:sz w:val="17"/>
              </w:rPr>
              <w:t>Highest Cost</w:t>
            </w:r>
          </w:p>
        </w:tc>
        <w:tc>
          <w:tcPr>
            <w:tcW w:w="0" w:type="auto"/>
            <w:tcBorders>
              <w:top w:val="single" w:sz="1" w:space="0" w:color="000000"/>
              <w:bottom w:val="single" w:sz="1" w:space="0" w:color="000000"/>
            </w:tcBorders>
          </w:tcPr>
          <w:p w14:paraId="3FE2348A" w14:textId="77777777" w:rsidR="00D33BD0" w:rsidRDefault="00000000">
            <w:pPr>
              <w:spacing w:line="360" w:lineRule="auto"/>
            </w:pPr>
            <w:r>
              <w:rPr>
                <w:rFonts w:ascii="source sans 3" w:eastAsia="source sans 3" w:hAnsi="source sans 3" w:cs="source sans 3"/>
                <w:color w:val="000000"/>
                <w:sz w:val="17"/>
              </w:rPr>
              <w:t>Ratio</w:t>
            </w:r>
          </w:p>
        </w:tc>
      </w:tr>
      <w:tr w:rsidR="00D33BD0" w14:paraId="54376E60"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6323813" w14:textId="77777777" w:rsidR="00D33BD0" w:rsidRDefault="00000000">
            <w:pPr>
              <w:spacing w:line="360" w:lineRule="auto"/>
            </w:pPr>
            <w:r>
              <w:rPr>
                <w:rFonts w:ascii="source sans 3" w:eastAsia="source sans 3" w:hAnsi="source sans 3" w:cs="source sans 3"/>
                <w:color w:val="000000"/>
                <w:sz w:val="17"/>
              </w:rPr>
              <w:t>Cataract surgery</w:t>
            </w:r>
          </w:p>
        </w:tc>
        <w:tc>
          <w:tcPr>
            <w:tcW w:w="0" w:type="auto"/>
            <w:tcBorders>
              <w:top w:val="single" w:sz="1" w:space="0" w:color="000000"/>
              <w:bottom w:val="single" w:sz="1" w:space="0" w:color="000000"/>
              <w:right w:val="single" w:sz="1" w:space="0" w:color="000000"/>
            </w:tcBorders>
          </w:tcPr>
          <w:p w14:paraId="2F9E1CBA" w14:textId="77777777" w:rsidR="00D33BD0" w:rsidRDefault="00000000">
            <w:pPr>
              <w:spacing w:line="360" w:lineRule="auto"/>
            </w:pPr>
            <w:r>
              <w:rPr>
                <w:rFonts w:ascii="source sans 3" w:eastAsia="source sans 3" w:hAnsi="source sans 3" w:cs="source sans 3"/>
                <w:color w:val="000000"/>
                <w:sz w:val="17"/>
              </w:rPr>
              <w:t>Austin/SA</w:t>
            </w:r>
          </w:p>
        </w:tc>
        <w:tc>
          <w:tcPr>
            <w:tcW w:w="0" w:type="auto"/>
            <w:tcBorders>
              <w:top w:val="single" w:sz="1" w:space="0" w:color="000000"/>
              <w:bottom w:val="single" w:sz="1" w:space="0" w:color="000000"/>
              <w:right w:val="single" w:sz="1" w:space="0" w:color="000000"/>
            </w:tcBorders>
          </w:tcPr>
          <w:p w14:paraId="5FC0CDA8" w14:textId="77777777" w:rsidR="00D33BD0" w:rsidRDefault="00000000">
            <w:pPr>
              <w:spacing w:line="360" w:lineRule="auto"/>
            </w:pPr>
            <w:r>
              <w:rPr>
                <w:rFonts w:ascii="source sans 3" w:eastAsia="source sans 3" w:hAnsi="source sans 3" w:cs="source sans 3"/>
                <w:color w:val="000000"/>
                <w:sz w:val="17"/>
              </w:rPr>
              <w:t>$1,311</w:t>
            </w:r>
          </w:p>
        </w:tc>
        <w:tc>
          <w:tcPr>
            <w:tcW w:w="0" w:type="auto"/>
            <w:tcBorders>
              <w:top w:val="single" w:sz="1" w:space="0" w:color="000000"/>
              <w:bottom w:val="single" w:sz="1" w:space="0" w:color="000000"/>
              <w:right w:val="single" w:sz="1" w:space="0" w:color="000000"/>
            </w:tcBorders>
          </w:tcPr>
          <w:p w14:paraId="029E87D1" w14:textId="77777777" w:rsidR="00D33BD0" w:rsidRDefault="00000000">
            <w:pPr>
              <w:spacing w:line="360" w:lineRule="auto"/>
            </w:pPr>
            <w:r>
              <w:rPr>
                <w:rFonts w:ascii="source sans 3" w:eastAsia="source sans 3" w:hAnsi="source sans 3" w:cs="source sans 3"/>
                <w:color w:val="000000"/>
                <w:sz w:val="17"/>
              </w:rPr>
              <w:t>$13,314</w:t>
            </w:r>
          </w:p>
        </w:tc>
        <w:tc>
          <w:tcPr>
            <w:tcW w:w="0" w:type="auto"/>
            <w:tcBorders>
              <w:top w:val="single" w:sz="1" w:space="0" w:color="000000"/>
              <w:bottom w:val="single" w:sz="1" w:space="0" w:color="000000"/>
            </w:tcBorders>
          </w:tcPr>
          <w:p w14:paraId="16CD11FA" w14:textId="77777777" w:rsidR="00D33BD0" w:rsidRDefault="00000000">
            <w:pPr>
              <w:spacing w:line="360" w:lineRule="auto"/>
            </w:pPr>
            <w:r>
              <w:rPr>
                <w:rFonts w:ascii="source sans 3" w:eastAsia="source sans 3" w:hAnsi="source sans 3" w:cs="source sans 3"/>
                <w:color w:val="000000"/>
                <w:sz w:val="17"/>
              </w:rPr>
              <w:t>9.1×</w:t>
            </w:r>
          </w:p>
        </w:tc>
      </w:tr>
      <w:tr w:rsidR="00D33BD0" w14:paraId="2E3DBA85"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D923F73" w14:textId="77777777" w:rsidR="00D33BD0" w:rsidRDefault="00000000">
            <w:pPr>
              <w:spacing w:line="360" w:lineRule="auto"/>
            </w:pPr>
            <w:r>
              <w:rPr>
                <w:rFonts w:ascii="source sans 3" w:eastAsia="source sans 3" w:hAnsi="source sans 3" w:cs="source sans 3"/>
                <w:color w:val="000000"/>
                <w:sz w:val="17"/>
              </w:rPr>
              <w:t>Colonoscopy</w:t>
            </w:r>
          </w:p>
        </w:tc>
        <w:tc>
          <w:tcPr>
            <w:tcW w:w="0" w:type="auto"/>
            <w:tcBorders>
              <w:top w:val="single" w:sz="1" w:space="0" w:color="000000"/>
              <w:bottom w:val="single" w:sz="1" w:space="0" w:color="000000"/>
              <w:right w:val="single" w:sz="1" w:space="0" w:color="000000"/>
            </w:tcBorders>
          </w:tcPr>
          <w:p w14:paraId="1E99122B" w14:textId="77777777" w:rsidR="00D33BD0" w:rsidRDefault="00000000">
            <w:pPr>
              <w:spacing w:line="360" w:lineRule="auto"/>
            </w:pPr>
            <w:r>
              <w:rPr>
                <w:rFonts w:ascii="source sans 3" w:eastAsia="source sans 3" w:hAnsi="source sans 3" w:cs="source sans 3"/>
                <w:color w:val="000000"/>
                <w:sz w:val="17"/>
              </w:rPr>
              <w:t>Houston</w:t>
            </w:r>
          </w:p>
        </w:tc>
        <w:tc>
          <w:tcPr>
            <w:tcW w:w="0" w:type="auto"/>
            <w:tcBorders>
              <w:top w:val="single" w:sz="1" w:space="0" w:color="000000"/>
              <w:bottom w:val="single" w:sz="1" w:space="0" w:color="000000"/>
              <w:right w:val="single" w:sz="1" w:space="0" w:color="000000"/>
            </w:tcBorders>
          </w:tcPr>
          <w:p w14:paraId="715ACAF8" w14:textId="77777777" w:rsidR="00D33BD0" w:rsidRDefault="00000000">
            <w:pPr>
              <w:spacing w:line="360" w:lineRule="auto"/>
            </w:pPr>
            <w:r>
              <w:rPr>
                <w:rFonts w:ascii="source sans 3" w:eastAsia="source sans 3" w:hAnsi="source sans 3" w:cs="source sans 3"/>
                <w:color w:val="000000"/>
                <w:sz w:val="17"/>
              </w:rPr>
              <w:t>$640</w:t>
            </w:r>
          </w:p>
        </w:tc>
        <w:tc>
          <w:tcPr>
            <w:tcW w:w="0" w:type="auto"/>
            <w:tcBorders>
              <w:top w:val="single" w:sz="1" w:space="0" w:color="000000"/>
              <w:bottom w:val="single" w:sz="1" w:space="0" w:color="000000"/>
              <w:right w:val="single" w:sz="1" w:space="0" w:color="000000"/>
            </w:tcBorders>
          </w:tcPr>
          <w:p w14:paraId="432973A5" w14:textId="77777777" w:rsidR="00D33BD0" w:rsidRDefault="00000000">
            <w:pPr>
              <w:spacing w:line="360" w:lineRule="auto"/>
            </w:pPr>
            <w:r>
              <w:rPr>
                <w:rFonts w:ascii="source sans 3" w:eastAsia="source sans 3" w:hAnsi="source sans 3" w:cs="source sans 3"/>
                <w:color w:val="000000"/>
                <w:sz w:val="17"/>
              </w:rPr>
              <w:t>$8,006</w:t>
            </w:r>
          </w:p>
        </w:tc>
        <w:tc>
          <w:tcPr>
            <w:tcW w:w="0" w:type="auto"/>
            <w:tcBorders>
              <w:top w:val="single" w:sz="1" w:space="0" w:color="000000"/>
              <w:bottom w:val="single" w:sz="1" w:space="0" w:color="000000"/>
            </w:tcBorders>
          </w:tcPr>
          <w:p w14:paraId="28465BD5" w14:textId="77777777" w:rsidR="00D33BD0" w:rsidRDefault="00000000">
            <w:pPr>
              <w:spacing w:line="360" w:lineRule="auto"/>
            </w:pPr>
            <w:r>
              <w:rPr>
                <w:rFonts w:ascii="source sans 3" w:eastAsia="source sans 3" w:hAnsi="source sans 3" w:cs="source sans 3"/>
                <w:color w:val="000000"/>
                <w:sz w:val="17"/>
              </w:rPr>
              <w:t>12.5×</w:t>
            </w:r>
          </w:p>
        </w:tc>
      </w:tr>
      <w:tr w:rsidR="00D33BD0" w14:paraId="52DB36A0"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1294661" w14:textId="77777777" w:rsidR="00D33BD0" w:rsidRDefault="00000000">
            <w:pPr>
              <w:spacing w:line="360" w:lineRule="auto"/>
            </w:pPr>
            <w:r>
              <w:rPr>
                <w:rFonts w:ascii="source sans 3" w:eastAsia="source sans 3" w:hAnsi="source sans 3" w:cs="source sans 3"/>
                <w:color w:val="000000"/>
                <w:sz w:val="17"/>
              </w:rPr>
              <w:t>Knee replacement</w:t>
            </w:r>
          </w:p>
        </w:tc>
        <w:tc>
          <w:tcPr>
            <w:tcW w:w="0" w:type="auto"/>
            <w:tcBorders>
              <w:top w:val="single" w:sz="1" w:space="0" w:color="000000"/>
              <w:bottom w:val="single" w:sz="1" w:space="0" w:color="000000"/>
              <w:right w:val="single" w:sz="1" w:space="0" w:color="000000"/>
            </w:tcBorders>
          </w:tcPr>
          <w:p w14:paraId="777DA458" w14:textId="77777777" w:rsidR="00D33BD0" w:rsidRDefault="00000000">
            <w:pPr>
              <w:spacing w:line="360" w:lineRule="auto"/>
            </w:pPr>
            <w:r>
              <w:rPr>
                <w:rFonts w:ascii="source sans 3" w:eastAsia="source sans 3" w:hAnsi="source sans 3" w:cs="source sans 3"/>
                <w:color w:val="000000"/>
                <w:sz w:val="17"/>
              </w:rPr>
              <w:t>Austin/SA</w:t>
            </w:r>
          </w:p>
        </w:tc>
        <w:tc>
          <w:tcPr>
            <w:tcW w:w="0" w:type="auto"/>
            <w:tcBorders>
              <w:top w:val="single" w:sz="1" w:space="0" w:color="000000"/>
              <w:bottom w:val="single" w:sz="1" w:space="0" w:color="000000"/>
              <w:right w:val="single" w:sz="1" w:space="0" w:color="000000"/>
            </w:tcBorders>
          </w:tcPr>
          <w:p w14:paraId="2A16AB26" w14:textId="77777777" w:rsidR="00D33BD0" w:rsidRDefault="00000000">
            <w:pPr>
              <w:spacing w:line="360" w:lineRule="auto"/>
            </w:pPr>
            <w:r>
              <w:rPr>
                <w:rFonts w:ascii="source sans 3" w:eastAsia="source sans 3" w:hAnsi="source sans 3" w:cs="source sans 3"/>
                <w:color w:val="000000"/>
                <w:sz w:val="17"/>
              </w:rPr>
              <w:t>$21,269</w:t>
            </w:r>
          </w:p>
        </w:tc>
        <w:tc>
          <w:tcPr>
            <w:tcW w:w="0" w:type="auto"/>
            <w:tcBorders>
              <w:top w:val="single" w:sz="1" w:space="0" w:color="000000"/>
              <w:bottom w:val="single" w:sz="1" w:space="0" w:color="000000"/>
              <w:right w:val="single" w:sz="1" w:space="0" w:color="000000"/>
            </w:tcBorders>
          </w:tcPr>
          <w:p w14:paraId="42B088ED" w14:textId="77777777" w:rsidR="00D33BD0" w:rsidRDefault="00000000">
            <w:pPr>
              <w:spacing w:line="360" w:lineRule="auto"/>
            </w:pPr>
            <w:r>
              <w:rPr>
                <w:rFonts w:ascii="source sans 3" w:eastAsia="source sans 3" w:hAnsi="source sans 3" w:cs="source sans 3"/>
                <w:color w:val="000000"/>
                <w:sz w:val="17"/>
              </w:rPr>
              <w:t>$85,052</w:t>
            </w:r>
          </w:p>
        </w:tc>
        <w:tc>
          <w:tcPr>
            <w:tcW w:w="0" w:type="auto"/>
            <w:tcBorders>
              <w:top w:val="single" w:sz="1" w:space="0" w:color="000000"/>
              <w:bottom w:val="single" w:sz="1" w:space="0" w:color="000000"/>
            </w:tcBorders>
          </w:tcPr>
          <w:p w14:paraId="0981C7D0" w14:textId="77777777" w:rsidR="00D33BD0" w:rsidRDefault="00000000">
            <w:pPr>
              <w:spacing w:line="360" w:lineRule="auto"/>
            </w:pPr>
            <w:r>
              <w:rPr>
                <w:rFonts w:ascii="source sans 3" w:eastAsia="source sans 3" w:hAnsi="source sans 3" w:cs="source sans 3"/>
                <w:color w:val="000000"/>
                <w:sz w:val="17"/>
              </w:rPr>
              <w:t>4.0×</w:t>
            </w:r>
          </w:p>
        </w:tc>
      </w:tr>
      <w:tr w:rsidR="00D33BD0" w14:paraId="6A353D0B"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ECB7D94" w14:textId="77777777" w:rsidR="00D33BD0" w:rsidRDefault="00000000">
            <w:pPr>
              <w:spacing w:line="360" w:lineRule="auto"/>
            </w:pPr>
            <w:r>
              <w:rPr>
                <w:rFonts w:ascii="source sans 3" w:eastAsia="source sans 3" w:hAnsi="source sans 3" w:cs="source sans 3"/>
                <w:color w:val="000000"/>
                <w:sz w:val="17"/>
              </w:rPr>
              <w:t>Hip replacement</w:t>
            </w:r>
          </w:p>
        </w:tc>
        <w:tc>
          <w:tcPr>
            <w:tcW w:w="0" w:type="auto"/>
            <w:tcBorders>
              <w:top w:val="single" w:sz="1" w:space="0" w:color="000000"/>
              <w:bottom w:val="single" w:sz="1" w:space="0" w:color="000000"/>
              <w:right w:val="single" w:sz="1" w:space="0" w:color="000000"/>
            </w:tcBorders>
          </w:tcPr>
          <w:p w14:paraId="1F9D6E5C" w14:textId="77777777" w:rsidR="00D33BD0" w:rsidRDefault="00000000">
            <w:pPr>
              <w:spacing w:line="360" w:lineRule="auto"/>
            </w:pPr>
            <w:r>
              <w:rPr>
                <w:rFonts w:ascii="source sans 3" w:eastAsia="source sans 3" w:hAnsi="source sans 3" w:cs="source sans 3"/>
                <w:color w:val="000000"/>
                <w:sz w:val="17"/>
              </w:rPr>
              <w:t>Dallas–FW</w:t>
            </w:r>
          </w:p>
        </w:tc>
        <w:tc>
          <w:tcPr>
            <w:tcW w:w="0" w:type="auto"/>
            <w:tcBorders>
              <w:top w:val="single" w:sz="1" w:space="0" w:color="000000"/>
              <w:bottom w:val="single" w:sz="1" w:space="0" w:color="000000"/>
              <w:right w:val="single" w:sz="1" w:space="0" w:color="000000"/>
            </w:tcBorders>
          </w:tcPr>
          <w:p w14:paraId="759F7FDB" w14:textId="77777777" w:rsidR="00D33BD0" w:rsidRDefault="00000000">
            <w:pPr>
              <w:spacing w:line="360" w:lineRule="auto"/>
            </w:pPr>
            <w:r>
              <w:rPr>
                <w:rFonts w:ascii="source sans 3" w:eastAsia="source sans 3" w:hAnsi="source sans 3" w:cs="source sans 3"/>
                <w:color w:val="000000"/>
                <w:sz w:val="17"/>
              </w:rPr>
              <w:t>$37,043</w:t>
            </w:r>
          </w:p>
        </w:tc>
        <w:tc>
          <w:tcPr>
            <w:tcW w:w="0" w:type="auto"/>
            <w:tcBorders>
              <w:top w:val="single" w:sz="1" w:space="0" w:color="000000"/>
              <w:bottom w:val="single" w:sz="1" w:space="0" w:color="000000"/>
              <w:right w:val="single" w:sz="1" w:space="0" w:color="000000"/>
            </w:tcBorders>
          </w:tcPr>
          <w:p w14:paraId="02F8FCDB" w14:textId="77777777" w:rsidR="00D33BD0" w:rsidRDefault="00000000">
            <w:pPr>
              <w:spacing w:line="360" w:lineRule="auto"/>
            </w:pPr>
            <w:r>
              <w:rPr>
                <w:rFonts w:ascii="source sans 3" w:eastAsia="source sans 3" w:hAnsi="source sans 3" w:cs="source sans 3"/>
                <w:color w:val="000000"/>
                <w:sz w:val="17"/>
              </w:rPr>
              <w:t>$125,146</w:t>
            </w:r>
          </w:p>
        </w:tc>
        <w:tc>
          <w:tcPr>
            <w:tcW w:w="0" w:type="auto"/>
            <w:tcBorders>
              <w:top w:val="single" w:sz="1" w:space="0" w:color="000000"/>
              <w:bottom w:val="single" w:sz="1" w:space="0" w:color="000000"/>
            </w:tcBorders>
          </w:tcPr>
          <w:p w14:paraId="2509209F" w14:textId="77777777" w:rsidR="00D33BD0" w:rsidRDefault="00000000">
            <w:pPr>
              <w:spacing w:line="360" w:lineRule="auto"/>
            </w:pPr>
            <w:r>
              <w:rPr>
                <w:rFonts w:ascii="source sans 3" w:eastAsia="source sans 3" w:hAnsi="source sans 3" w:cs="source sans 3"/>
                <w:color w:val="000000"/>
                <w:sz w:val="17"/>
              </w:rPr>
              <w:t>3.4×</w:t>
            </w:r>
          </w:p>
        </w:tc>
      </w:tr>
      <w:tr w:rsidR="00D33BD0" w14:paraId="74CF166D"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773B234" w14:textId="77777777" w:rsidR="00D33BD0" w:rsidRDefault="00000000">
            <w:pPr>
              <w:spacing w:line="360" w:lineRule="auto"/>
            </w:pPr>
            <w:r>
              <w:rPr>
                <w:rFonts w:ascii="source sans 3" w:eastAsia="source sans 3" w:hAnsi="source sans 3" w:cs="source sans 3"/>
                <w:color w:val="000000"/>
                <w:sz w:val="17"/>
              </w:rPr>
              <w:t>CABG (cardiac bypass)</w:t>
            </w:r>
          </w:p>
        </w:tc>
        <w:tc>
          <w:tcPr>
            <w:tcW w:w="0" w:type="auto"/>
            <w:tcBorders>
              <w:top w:val="single" w:sz="1" w:space="0" w:color="000000"/>
              <w:bottom w:val="single" w:sz="1" w:space="0" w:color="000000"/>
              <w:right w:val="single" w:sz="1" w:space="0" w:color="000000"/>
            </w:tcBorders>
          </w:tcPr>
          <w:p w14:paraId="4C883B3F" w14:textId="77777777" w:rsidR="00D33BD0" w:rsidRDefault="00000000">
            <w:pPr>
              <w:spacing w:line="360" w:lineRule="auto"/>
            </w:pPr>
            <w:r>
              <w:rPr>
                <w:rFonts w:ascii="source sans 3" w:eastAsia="source sans 3" w:hAnsi="source sans 3" w:cs="source sans 3"/>
                <w:color w:val="000000"/>
                <w:sz w:val="17"/>
              </w:rPr>
              <w:t>Dallas–FW</w:t>
            </w:r>
          </w:p>
        </w:tc>
        <w:tc>
          <w:tcPr>
            <w:tcW w:w="0" w:type="auto"/>
            <w:tcBorders>
              <w:top w:val="single" w:sz="1" w:space="0" w:color="000000"/>
              <w:bottom w:val="single" w:sz="1" w:space="0" w:color="000000"/>
              <w:right w:val="single" w:sz="1" w:space="0" w:color="000000"/>
            </w:tcBorders>
          </w:tcPr>
          <w:p w14:paraId="2155CF3B" w14:textId="77777777" w:rsidR="00D33BD0" w:rsidRDefault="00000000">
            <w:pPr>
              <w:spacing w:line="360" w:lineRule="auto"/>
            </w:pPr>
            <w:r>
              <w:rPr>
                <w:rFonts w:ascii="source sans 3" w:eastAsia="source sans 3" w:hAnsi="source sans 3" w:cs="source sans 3"/>
                <w:color w:val="000000"/>
                <w:sz w:val="17"/>
              </w:rPr>
              <w:t>$106,570</w:t>
            </w:r>
          </w:p>
        </w:tc>
        <w:tc>
          <w:tcPr>
            <w:tcW w:w="0" w:type="auto"/>
            <w:tcBorders>
              <w:top w:val="single" w:sz="1" w:space="0" w:color="000000"/>
              <w:bottom w:val="single" w:sz="1" w:space="0" w:color="000000"/>
              <w:right w:val="single" w:sz="1" w:space="0" w:color="000000"/>
            </w:tcBorders>
          </w:tcPr>
          <w:p w14:paraId="73FBE11F" w14:textId="77777777" w:rsidR="00D33BD0" w:rsidRDefault="00000000">
            <w:pPr>
              <w:spacing w:line="360" w:lineRule="auto"/>
            </w:pPr>
            <w:r>
              <w:rPr>
                <w:rFonts w:ascii="source sans 3" w:eastAsia="source sans 3" w:hAnsi="source sans 3" w:cs="source sans 3"/>
                <w:color w:val="000000"/>
                <w:sz w:val="17"/>
              </w:rPr>
              <w:t>$266,346</w:t>
            </w:r>
          </w:p>
        </w:tc>
        <w:tc>
          <w:tcPr>
            <w:tcW w:w="0" w:type="auto"/>
            <w:tcBorders>
              <w:top w:val="single" w:sz="1" w:space="0" w:color="000000"/>
              <w:bottom w:val="single" w:sz="1" w:space="0" w:color="000000"/>
            </w:tcBorders>
          </w:tcPr>
          <w:p w14:paraId="20F86889" w14:textId="77777777" w:rsidR="00D33BD0" w:rsidRDefault="00000000">
            <w:pPr>
              <w:spacing w:line="360" w:lineRule="auto"/>
            </w:pPr>
            <w:r>
              <w:rPr>
                <w:rFonts w:ascii="source sans 3" w:eastAsia="source sans 3" w:hAnsi="source sans 3" w:cs="source sans 3"/>
                <w:color w:val="000000"/>
                <w:sz w:val="17"/>
              </w:rPr>
              <w:t>2.5×</w:t>
            </w:r>
          </w:p>
        </w:tc>
      </w:tr>
      <w:tr w:rsidR="00D33BD0" w14:paraId="3F28B0F0"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79C3873" w14:textId="77777777" w:rsidR="00D33BD0" w:rsidRDefault="00000000">
            <w:pPr>
              <w:spacing w:line="360" w:lineRule="auto"/>
            </w:pPr>
            <w:r>
              <w:rPr>
                <w:rFonts w:ascii="source sans 3" w:eastAsia="source sans 3" w:hAnsi="source sans 3" w:cs="source sans 3"/>
                <w:color w:val="000000"/>
                <w:sz w:val="17"/>
              </w:rPr>
              <w:t>Depression and anxiety</w:t>
            </w:r>
          </w:p>
        </w:tc>
        <w:tc>
          <w:tcPr>
            <w:tcW w:w="0" w:type="auto"/>
            <w:tcBorders>
              <w:top w:val="single" w:sz="1" w:space="0" w:color="000000"/>
              <w:bottom w:val="single" w:sz="1" w:space="0" w:color="000000"/>
              <w:right w:val="single" w:sz="1" w:space="0" w:color="000000"/>
            </w:tcBorders>
          </w:tcPr>
          <w:p w14:paraId="4F2E8059" w14:textId="77777777" w:rsidR="00D33BD0" w:rsidRDefault="00000000">
            <w:pPr>
              <w:spacing w:line="360" w:lineRule="auto"/>
            </w:pPr>
            <w:r>
              <w:rPr>
                <w:rFonts w:ascii="source sans 3" w:eastAsia="source sans 3" w:hAnsi="source sans 3" w:cs="source sans 3"/>
                <w:color w:val="000000"/>
                <w:sz w:val="17"/>
              </w:rPr>
              <w:t>Dallas–FW</w:t>
            </w:r>
          </w:p>
        </w:tc>
        <w:tc>
          <w:tcPr>
            <w:tcW w:w="0" w:type="auto"/>
            <w:tcBorders>
              <w:top w:val="single" w:sz="1" w:space="0" w:color="000000"/>
              <w:bottom w:val="single" w:sz="1" w:space="0" w:color="000000"/>
              <w:right w:val="single" w:sz="1" w:space="0" w:color="000000"/>
            </w:tcBorders>
          </w:tcPr>
          <w:p w14:paraId="45FEB7BD" w14:textId="77777777" w:rsidR="00D33BD0" w:rsidRDefault="00000000">
            <w:pPr>
              <w:spacing w:line="360" w:lineRule="auto"/>
            </w:pPr>
            <w:r>
              <w:rPr>
                <w:rFonts w:ascii="source sans 3" w:eastAsia="source sans 3" w:hAnsi="source sans 3" w:cs="source sans 3"/>
                <w:color w:val="000000"/>
                <w:sz w:val="17"/>
              </w:rPr>
              <w:t>$950</w:t>
            </w:r>
          </w:p>
        </w:tc>
        <w:tc>
          <w:tcPr>
            <w:tcW w:w="0" w:type="auto"/>
            <w:tcBorders>
              <w:top w:val="single" w:sz="1" w:space="0" w:color="000000"/>
              <w:bottom w:val="single" w:sz="1" w:space="0" w:color="000000"/>
              <w:right w:val="single" w:sz="1" w:space="0" w:color="000000"/>
            </w:tcBorders>
          </w:tcPr>
          <w:p w14:paraId="57DBAC98" w14:textId="77777777" w:rsidR="00D33BD0" w:rsidRDefault="00000000">
            <w:pPr>
              <w:spacing w:line="360" w:lineRule="auto"/>
            </w:pPr>
            <w:r>
              <w:rPr>
                <w:rFonts w:ascii="source sans 3" w:eastAsia="source sans 3" w:hAnsi="source sans 3" w:cs="source sans 3"/>
                <w:color w:val="000000"/>
                <w:sz w:val="17"/>
              </w:rPr>
              <w:t>$26,492</w:t>
            </w:r>
          </w:p>
        </w:tc>
        <w:tc>
          <w:tcPr>
            <w:tcW w:w="0" w:type="auto"/>
            <w:tcBorders>
              <w:top w:val="single" w:sz="1" w:space="0" w:color="000000"/>
              <w:bottom w:val="single" w:sz="1" w:space="0" w:color="000000"/>
            </w:tcBorders>
          </w:tcPr>
          <w:p w14:paraId="21792261" w14:textId="77777777" w:rsidR="00D33BD0" w:rsidRDefault="00000000">
            <w:pPr>
              <w:spacing w:line="360" w:lineRule="auto"/>
            </w:pPr>
            <w:r>
              <w:rPr>
                <w:rFonts w:ascii="source sans 3" w:eastAsia="source sans 3" w:hAnsi="source sans 3" w:cs="source sans 3"/>
                <w:color w:val="000000"/>
                <w:sz w:val="17"/>
              </w:rPr>
              <w:t>26.8×</w:t>
            </w:r>
          </w:p>
        </w:tc>
      </w:tr>
      <w:tr w:rsidR="00D33BD0" w14:paraId="38B0262D"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718CEE4" w14:textId="77777777" w:rsidR="00D33BD0" w:rsidRDefault="00000000">
            <w:pPr>
              <w:spacing w:line="360" w:lineRule="auto"/>
            </w:pPr>
            <w:r>
              <w:rPr>
                <w:rFonts w:ascii="source sans 3" w:eastAsia="source sans 3" w:hAnsi="source sans 3" w:cs="source sans 3"/>
                <w:color w:val="000000"/>
                <w:sz w:val="17"/>
              </w:rPr>
              <w:t>Acute ENT conditions</w:t>
            </w:r>
          </w:p>
        </w:tc>
        <w:tc>
          <w:tcPr>
            <w:tcW w:w="0" w:type="auto"/>
            <w:tcBorders>
              <w:top w:val="single" w:sz="1" w:space="0" w:color="000000"/>
              <w:bottom w:val="single" w:sz="1" w:space="0" w:color="000000"/>
              <w:right w:val="single" w:sz="1" w:space="0" w:color="000000"/>
            </w:tcBorders>
          </w:tcPr>
          <w:p w14:paraId="2DC5C34A" w14:textId="77777777" w:rsidR="00D33BD0" w:rsidRDefault="00000000">
            <w:pPr>
              <w:spacing w:line="360" w:lineRule="auto"/>
            </w:pPr>
            <w:r>
              <w:rPr>
                <w:rFonts w:ascii="source sans 3" w:eastAsia="source sans 3" w:hAnsi="source sans 3" w:cs="source sans 3"/>
                <w:color w:val="000000"/>
                <w:sz w:val="17"/>
              </w:rPr>
              <w:t>Dallas–FW</w:t>
            </w:r>
          </w:p>
        </w:tc>
        <w:tc>
          <w:tcPr>
            <w:tcW w:w="0" w:type="auto"/>
            <w:tcBorders>
              <w:top w:val="single" w:sz="1" w:space="0" w:color="000000"/>
              <w:bottom w:val="single" w:sz="1" w:space="0" w:color="000000"/>
              <w:right w:val="single" w:sz="1" w:space="0" w:color="000000"/>
            </w:tcBorders>
          </w:tcPr>
          <w:p w14:paraId="16E1CC25" w14:textId="77777777" w:rsidR="00D33BD0" w:rsidRDefault="00000000">
            <w:pPr>
              <w:spacing w:line="360" w:lineRule="auto"/>
            </w:pPr>
            <w:r>
              <w:rPr>
                <w:rFonts w:ascii="source sans 3" w:eastAsia="source sans 3" w:hAnsi="source sans 3" w:cs="source sans 3"/>
                <w:color w:val="000000"/>
                <w:sz w:val="17"/>
              </w:rPr>
              <w:t>$547</w:t>
            </w:r>
          </w:p>
        </w:tc>
        <w:tc>
          <w:tcPr>
            <w:tcW w:w="0" w:type="auto"/>
            <w:tcBorders>
              <w:top w:val="single" w:sz="1" w:space="0" w:color="000000"/>
              <w:bottom w:val="single" w:sz="1" w:space="0" w:color="000000"/>
              <w:right w:val="single" w:sz="1" w:space="0" w:color="000000"/>
            </w:tcBorders>
          </w:tcPr>
          <w:p w14:paraId="6F616E3F" w14:textId="77777777" w:rsidR="00D33BD0" w:rsidRDefault="00000000">
            <w:pPr>
              <w:spacing w:line="360" w:lineRule="auto"/>
            </w:pPr>
            <w:r>
              <w:rPr>
                <w:rFonts w:ascii="source sans 3" w:eastAsia="source sans 3" w:hAnsi="source sans 3" w:cs="source sans 3"/>
                <w:color w:val="000000"/>
                <w:sz w:val="17"/>
              </w:rPr>
              <w:t>$22,882</w:t>
            </w:r>
          </w:p>
        </w:tc>
        <w:tc>
          <w:tcPr>
            <w:tcW w:w="0" w:type="auto"/>
            <w:tcBorders>
              <w:top w:val="single" w:sz="1" w:space="0" w:color="000000"/>
              <w:bottom w:val="single" w:sz="1" w:space="0" w:color="000000"/>
            </w:tcBorders>
          </w:tcPr>
          <w:p w14:paraId="07CF59AE" w14:textId="77777777" w:rsidR="00D33BD0" w:rsidRDefault="00000000">
            <w:pPr>
              <w:spacing w:line="360" w:lineRule="auto"/>
            </w:pPr>
            <w:r>
              <w:rPr>
                <w:rFonts w:ascii="source sans 3" w:eastAsia="source sans 3" w:hAnsi="source sans 3" w:cs="source sans 3"/>
                <w:color w:val="000000"/>
                <w:sz w:val="17"/>
              </w:rPr>
              <w:t>31.7×</w:t>
            </w:r>
          </w:p>
        </w:tc>
      </w:tr>
      <w:tr w:rsidR="00D33BD0" w14:paraId="3D4DD20F"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8B56E81" w14:textId="77777777" w:rsidR="00D33BD0" w:rsidRDefault="00000000">
            <w:pPr>
              <w:spacing w:line="360" w:lineRule="auto"/>
            </w:pPr>
            <w:r>
              <w:rPr>
                <w:rFonts w:ascii="source sans 3" w:eastAsia="source sans 3" w:hAnsi="source sans 3" w:cs="source sans 3"/>
                <w:color w:val="000000"/>
                <w:sz w:val="17"/>
              </w:rPr>
              <w:t>Contact dermatitis</w:t>
            </w:r>
          </w:p>
        </w:tc>
        <w:tc>
          <w:tcPr>
            <w:tcW w:w="0" w:type="auto"/>
            <w:tcBorders>
              <w:top w:val="single" w:sz="1" w:space="0" w:color="000000"/>
              <w:bottom w:val="single" w:sz="1" w:space="0" w:color="000000"/>
              <w:right w:val="single" w:sz="1" w:space="0" w:color="000000"/>
            </w:tcBorders>
          </w:tcPr>
          <w:p w14:paraId="435D22C1" w14:textId="77777777" w:rsidR="00D33BD0" w:rsidRDefault="00000000">
            <w:pPr>
              <w:spacing w:line="360" w:lineRule="auto"/>
            </w:pPr>
            <w:r>
              <w:rPr>
                <w:rFonts w:ascii="source sans 3" w:eastAsia="source sans 3" w:hAnsi="source sans 3" w:cs="source sans 3"/>
                <w:color w:val="000000"/>
                <w:sz w:val="17"/>
              </w:rPr>
              <w:t>Houston</w:t>
            </w:r>
          </w:p>
        </w:tc>
        <w:tc>
          <w:tcPr>
            <w:tcW w:w="0" w:type="auto"/>
            <w:tcBorders>
              <w:top w:val="single" w:sz="1" w:space="0" w:color="000000"/>
              <w:bottom w:val="single" w:sz="1" w:space="0" w:color="000000"/>
              <w:right w:val="single" w:sz="1" w:space="0" w:color="000000"/>
            </w:tcBorders>
          </w:tcPr>
          <w:p w14:paraId="670B226C" w14:textId="77777777" w:rsidR="00D33BD0" w:rsidRDefault="00000000">
            <w:pPr>
              <w:spacing w:line="360" w:lineRule="auto"/>
            </w:pPr>
            <w:r>
              <w:rPr>
                <w:rFonts w:ascii="source sans 3" w:eastAsia="source sans 3" w:hAnsi="source sans 3" w:cs="source sans 3"/>
                <w:color w:val="000000"/>
                <w:sz w:val="17"/>
              </w:rPr>
              <w:t>$646</w:t>
            </w:r>
          </w:p>
        </w:tc>
        <w:tc>
          <w:tcPr>
            <w:tcW w:w="0" w:type="auto"/>
            <w:tcBorders>
              <w:top w:val="single" w:sz="1" w:space="0" w:color="000000"/>
              <w:bottom w:val="single" w:sz="1" w:space="0" w:color="000000"/>
              <w:right w:val="single" w:sz="1" w:space="0" w:color="000000"/>
            </w:tcBorders>
          </w:tcPr>
          <w:p w14:paraId="3134810C" w14:textId="77777777" w:rsidR="00D33BD0" w:rsidRDefault="00000000">
            <w:pPr>
              <w:spacing w:line="360" w:lineRule="auto"/>
            </w:pPr>
            <w:r>
              <w:rPr>
                <w:rFonts w:ascii="source sans 3" w:eastAsia="source sans 3" w:hAnsi="source sans 3" w:cs="source sans 3"/>
                <w:color w:val="000000"/>
                <w:sz w:val="17"/>
              </w:rPr>
              <w:t>$26,064</w:t>
            </w:r>
          </w:p>
        </w:tc>
        <w:tc>
          <w:tcPr>
            <w:tcW w:w="0" w:type="auto"/>
            <w:tcBorders>
              <w:top w:val="single" w:sz="1" w:space="0" w:color="000000"/>
              <w:bottom w:val="single" w:sz="1" w:space="0" w:color="000000"/>
            </w:tcBorders>
          </w:tcPr>
          <w:p w14:paraId="46476DD8" w14:textId="77777777" w:rsidR="00D33BD0" w:rsidRDefault="00000000">
            <w:pPr>
              <w:spacing w:line="360" w:lineRule="auto"/>
            </w:pPr>
            <w:r>
              <w:rPr>
                <w:rFonts w:ascii="source sans 3" w:eastAsia="source sans 3" w:hAnsi="source sans 3" w:cs="source sans 3"/>
                <w:color w:val="000000"/>
                <w:sz w:val="17"/>
              </w:rPr>
              <w:t>39.3×</w:t>
            </w:r>
          </w:p>
        </w:tc>
      </w:tr>
    </w:tbl>
    <w:p w14:paraId="6D805413" w14:textId="77777777" w:rsidR="00D33BD0" w:rsidRDefault="00D33BD0"/>
    <w:p w14:paraId="6F2659CE" w14:textId="77777777" w:rsidR="00D33BD0" w:rsidRDefault="00000000">
      <w:pPr>
        <w:spacing w:after="210" w:line="360" w:lineRule="auto"/>
      </w:pPr>
      <w:r>
        <w:rPr>
          <w:rFonts w:ascii="source serif 4" w:eastAsia="source serif 4" w:hAnsi="source serif 4" w:cs="source serif 4"/>
          <w:i/>
          <w:color w:val="000000"/>
        </w:rPr>
        <w:t>Source: Oxbridge Texas episode analysis.</w:t>
      </w:r>
      <w:r>
        <w:rPr>
          <w:rFonts w:ascii="source serif 4" w:eastAsia="source serif 4" w:hAnsi="source serif 4" w:cs="source serif 4"/>
          <w:color w:val="000000"/>
        </w:rPr>
        <w:t>[^1]</w:t>
      </w:r>
    </w:p>
    <w:p w14:paraId="2D502C3F" w14:textId="77777777" w:rsidR="00D33BD0" w:rsidRDefault="00000000">
      <w:pPr>
        <w:spacing w:after="210" w:line="360" w:lineRule="auto"/>
      </w:pPr>
      <w:r>
        <w:rPr>
          <w:rFonts w:ascii="source serif 4" w:eastAsia="source serif 4" w:hAnsi="source serif 4" w:cs="source serif 4"/>
          <w:color w:val="000000"/>
        </w:rPr>
        <w:t>None of this dispersion is visible on an explanation of benefits, a provider directory, or a price transparency file. It becomes actionable only after episodes are assembled across all services and risk-adjusted—precisely the analytic structure that episode-based payment requires.[^1]</w:t>
      </w:r>
    </w:p>
    <w:p w14:paraId="77BE42D4" w14:textId="77777777" w:rsidR="00D33BD0" w:rsidRDefault="00000000">
      <w:pPr>
        <w:spacing w:before="315" w:after="105" w:line="360" w:lineRule="auto"/>
        <w:ind w:left="-30"/>
      </w:pPr>
      <w:bookmarkStart w:id="16" w:name="bm_4_5_commercial_prices_relative_15b8e2"/>
      <w:r>
        <w:rPr>
          <w:rFonts w:ascii="source serif 4" w:eastAsia="source serif 4" w:hAnsi="source serif 4" w:cs="source serif 4"/>
          <w:b/>
          <w:color w:val="000000"/>
          <w:sz w:val="24"/>
        </w:rPr>
        <w:t>4.5 Commercial Prices Relative to Medicare</w:t>
      </w:r>
      <w:bookmarkEnd w:id="16"/>
    </w:p>
    <w:p w14:paraId="5916A5F7" w14:textId="77777777" w:rsidR="00D33BD0" w:rsidRDefault="00000000">
      <w:pPr>
        <w:spacing w:after="210" w:line="360" w:lineRule="auto"/>
      </w:pPr>
      <w:r>
        <w:rPr>
          <w:rFonts w:ascii="source serif 4" w:eastAsia="source serif 4" w:hAnsi="source serif 4" w:cs="source serif 4"/>
          <w:color w:val="000000"/>
        </w:rPr>
        <w:t xml:space="preserve">The Oxbridge analysis also benchmarks commercial allowed amounts against CMS standard (Medicare) rates for the same services at the same institutions across the 131 episodes. The commercial fee schedule stands substantially above Medicare—but the </w:t>
      </w:r>
      <w:r>
        <w:rPr>
          <w:rFonts w:ascii="source serif 4" w:eastAsia="source serif 4" w:hAnsi="source serif 4" w:cs="source serif 4"/>
          <w:i/>
          <w:color w:val="000000"/>
        </w:rPr>
        <w:t>level</w:t>
      </w:r>
      <w:r>
        <w:rPr>
          <w:rFonts w:ascii="source serif 4" w:eastAsia="source serif 4" w:hAnsi="source serif 4" w:cs="source serif 4"/>
          <w:color w:val="000000"/>
        </w:rPr>
        <w:t xml:space="preserve"> of commercial prices is not the same as the </w:t>
      </w:r>
      <w:r>
        <w:rPr>
          <w:rFonts w:ascii="source serif 4" w:eastAsia="source serif 4" w:hAnsi="source serif 4" w:cs="source serif 4"/>
          <w:i/>
          <w:color w:val="000000"/>
        </w:rPr>
        <w:t>variance</w:t>
      </w:r>
      <w:r>
        <w:rPr>
          <w:rFonts w:ascii="source serif 4" w:eastAsia="source serif 4" w:hAnsi="source serif 4" w:cs="source serif 4"/>
          <w:color w:val="000000"/>
        </w:rPr>
        <w:t xml:space="preserve"> in episode cost, and this distinction is the key analytic insight:[^1]</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652"/>
        <w:gridCol w:w="1831"/>
        <w:gridCol w:w="1340"/>
        <w:gridCol w:w="768"/>
      </w:tblGrid>
      <w:tr w:rsidR="00D33BD0" w14:paraId="6D4A0860"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4E9E499" w14:textId="77777777" w:rsidR="00D33BD0" w:rsidRDefault="00000000">
            <w:pPr>
              <w:spacing w:line="360" w:lineRule="auto"/>
            </w:pPr>
            <w:r>
              <w:rPr>
                <w:rFonts w:ascii="source sans 3" w:eastAsia="source sans 3" w:hAnsi="source sans 3" w:cs="source sans 3"/>
                <w:color w:val="000000"/>
                <w:sz w:val="17"/>
              </w:rPr>
              <w:t>Service Category</w:t>
            </w:r>
          </w:p>
        </w:tc>
        <w:tc>
          <w:tcPr>
            <w:tcW w:w="0" w:type="auto"/>
            <w:tcBorders>
              <w:top w:val="single" w:sz="1" w:space="0" w:color="000000"/>
              <w:bottom w:val="single" w:sz="1" w:space="0" w:color="000000"/>
              <w:right w:val="single" w:sz="1" w:space="0" w:color="000000"/>
            </w:tcBorders>
          </w:tcPr>
          <w:p w14:paraId="2BF3A2B1" w14:textId="77777777" w:rsidR="00D33BD0" w:rsidRDefault="00000000">
            <w:pPr>
              <w:spacing w:line="360" w:lineRule="auto"/>
            </w:pPr>
            <w:r>
              <w:rPr>
                <w:rFonts w:ascii="source sans 3" w:eastAsia="source sans 3" w:hAnsi="source sans 3" w:cs="source sans 3"/>
                <w:color w:val="000000"/>
                <w:sz w:val="17"/>
              </w:rPr>
              <w:t>Commercial Allowed</w:t>
            </w:r>
          </w:p>
        </w:tc>
        <w:tc>
          <w:tcPr>
            <w:tcW w:w="0" w:type="auto"/>
            <w:tcBorders>
              <w:top w:val="single" w:sz="1" w:space="0" w:color="000000"/>
              <w:bottom w:val="single" w:sz="1" w:space="0" w:color="000000"/>
              <w:right w:val="single" w:sz="1" w:space="0" w:color="000000"/>
            </w:tcBorders>
          </w:tcPr>
          <w:p w14:paraId="3CB5235D" w14:textId="77777777" w:rsidR="00D33BD0" w:rsidRDefault="00000000">
            <w:pPr>
              <w:spacing w:line="360" w:lineRule="auto"/>
            </w:pPr>
            <w:r>
              <w:rPr>
                <w:rFonts w:ascii="source sans 3" w:eastAsia="source sans 3" w:hAnsi="source sans 3" w:cs="source sans 3"/>
                <w:color w:val="000000"/>
                <w:sz w:val="17"/>
              </w:rPr>
              <w:t>CMS Standard</w:t>
            </w:r>
          </w:p>
        </w:tc>
        <w:tc>
          <w:tcPr>
            <w:tcW w:w="0" w:type="auto"/>
            <w:tcBorders>
              <w:top w:val="single" w:sz="1" w:space="0" w:color="000000"/>
              <w:bottom w:val="single" w:sz="1" w:space="0" w:color="000000"/>
            </w:tcBorders>
          </w:tcPr>
          <w:p w14:paraId="0C1A7012" w14:textId="77777777" w:rsidR="00D33BD0" w:rsidRDefault="00000000">
            <w:pPr>
              <w:spacing w:line="360" w:lineRule="auto"/>
            </w:pPr>
            <w:r>
              <w:rPr>
                <w:rFonts w:ascii="source sans 3" w:eastAsia="source sans 3" w:hAnsi="source sans 3" w:cs="source sans 3"/>
                <w:color w:val="000000"/>
                <w:sz w:val="17"/>
              </w:rPr>
              <w:t>Ratio</w:t>
            </w:r>
          </w:p>
        </w:tc>
      </w:tr>
      <w:tr w:rsidR="00D33BD0" w14:paraId="7521B5B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C3040A9" w14:textId="77777777" w:rsidR="00D33BD0" w:rsidRDefault="00000000">
            <w:pPr>
              <w:spacing w:line="360" w:lineRule="auto"/>
            </w:pPr>
            <w:r>
              <w:rPr>
                <w:rFonts w:ascii="source sans 3" w:eastAsia="source sans 3" w:hAnsi="source sans 3" w:cs="source sans 3"/>
                <w:color w:val="000000"/>
                <w:sz w:val="17"/>
              </w:rPr>
              <w:t>Inpatient</w:t>
            </w:r>
          </w:p>
        </w:tc>
        <w:tc>
          <w:tcPr>
            <w:tcW w:w="0" w:type="auto"/>
            <w:tcBorders>
              <w:top w:val="single" w:sz="1" w:space="0" w:color="000000"/>
              <w:bottom w:val="single" w:sz="1" w:space="0" w:color="000000"/>
              <w:right w:val="single" w:sz="1" w:space="0" w:color="000000"/>
            </w:tcBorders>
          </w:tcPr>
          <w:p w14:paraId="722D81E9" w14:textId="77777777" w:rsidR="00D33BD0" w:rsidRDefault="00000000">
            <w:pPr>
              <w:spacing w:line="360" w:lineRule="auto"/>
            </w:pPr>
            <w:r>
              <w:rPr>
                <w:rFonts w:ascii="source sans 3" w:eastAsia="source sans 3" w:hAnsi="source sans 3" w:cs="source sans 3"/>
                <w:color w:val="000000"/>
                <w:sz w:val="17"/>
              </w:rPr>
              <w:t>$13.26B</w:t>
            </w:r>
          </w:p>
        </w:tc>
        <w:tc>
          <w:tcPr>
            <w:tcW w:w="0" w:type="auto"/>
            <w:tcBorders>
              <w:top w:val="single" w:sz="1" w:space="0" w:color="000000"/>
              <w:bottom w:val="single" w:sz="1" w:space="0" w:color="000000"/>
              <w:right w:val="single" w:sz="1" w:space="0" w:color="000000"/>
            </w:tcBorders>
          </w:tcPr>
          <w:p w14:paraId="56DDC4C6" w14:textId="77777777" w:rsidR="00D33BD0" w:rsidRDefault="00000000">
            <w:pPr>
              <w:spacing w:line="360" w:lineRule="auto"/>
            </w:pPr>
            <w:r>
              <w:rPr>
                <w:rFonts w:ascii="source sans 3" w:eastAsia="source sans 3" w:hAnsi="source sans 3" w:cs="source sans 3"/>
                <w:color w:val="000000"/>
                <w:sz w:val="17"/>
              </w:rPr>
              <w:t>$5.40B</w:t>
            </w:r>
          </w:p>
        </w:tc>
        <w:tc>
          <w:tcPr>
            <w:tcW w:w="0" w:type="auto"/>
            <w:tcBorders>
              <w:top w:val="single" w:sz="1" w:space="0" w:color="000000"/>
              <w:bottom w:val="single" w:sz="1" w:space="0" w:color="000000"/>
            </w:tcBorders>
          </w:tcPr>
          <w:p w14:paraId="14D2C6CF" w14:textId="77777777" w:rsidR="00D33BD0" w:rsidRDefault="00000000">
            <w:pPr>
              <w:spacing w:line="360" w:lineRule="auto"/>
            </w:pPr>
            <w:r>
              <w:rPr>
                <w:rFonts w:ascii="source serif 4" w:eastAsia="source serif 4" w:hAnsi="source serif 4" w:cs="source serif 4"/>
                <w:b/>
                <w:color w:val="000000"/>
                <w:sz w:val="17"/>
              </w:rPr>
              <w:t>2.46×</w:t>
            </w:r>
          </w:p>
        </w:tc>
      </w:tr>
      <w:tr w:rsidR="00D33BD0" w14:paraId="161727A4"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945D287" w14:textId="77777777" w:rsidR="00D33BD0" w:rsidRDefault="00000000">
            <w:pPr>
              <w:spacing w:line="360" w:lineRule="auto"/>
            </w:pPr>
            <w:r>
              <w:rPr>
                <w:rFonts w:ascii="source sans 3" w:eastAsia="source sans 3" w:hAnsi="source sans 3" w:cs="source sans 3"/>
                <w:color w:val="000000"/>
                <w:sz w:val="17"/>
              </w:rPr>
              <w:lastRenderedPageBreak/>
              <w:t>Outpatient</w:t>
            </w:r>
          </w:p>
        </w:tc>
        <w:tc>
          <w:tcPr>
            <w:tcW w:w="0" w:type="auto"/>
            <w:tcBorders>
              <w:top w:val="single" w:sz="1" w:space="0" w:color="000000"/>
              <w:bottom w:val="single" w:sz="1" w:space="0" w:color="000000"/>
              <w:right w:val="single" w:sz="1" w:space="0" w:color="000000"/>
            </w:tcBorders>
          </w:tcPr>
          <w:p w14:paraId="76AA47CD" w14:textId="77777777" w:rsidR="00D33BD0" w:rsidRDefault="00000000">
            <w:pPr>
              <w:spacing w:line="360" w:lineRule="auto"/>
            </w:pPr>
            <w:r>
              <w:rPr>
                <w:rFonts w:ascii="source sans 3" w:eastAsia="source sans 3" w:hAnsi="source sans 3" w:cs="source sans 3"/>
                <w:color w:val="000000"/>
                <w:sz w:val="17"/>
              </w:rPr>
              <w:t>$11.29B</w:t>
            </w:r>
          </w:p>
        </w:tc>
        <w:tc>
          <w:tcPr>
            <w:tcW w:w="0" w:type="auto"/>
            <w:tcBorders>
              <w:top w:val="single" w:sz="1" w:space="0" w:color="000000"/>
              <w:bottom w:val="single" w:sz="1" w:space="0" w:color="000000"/>
              <w:right w:val="single" w:sz="1" w:space="0" w:color="000000"/>
            </w:tcBorders>
          </w:tcPr>
          <w:p w14:paraId="7D917D9A" w14:textId="77777777" w:rsidR="00D33BD0" w:rsidRDefault="00000000">
            <w:pPr>
              <w:spacing w:line="360" w:lineRule="auto"/>
            </w:pPr>
            <w:r>
              <w:rPr>
                <w:rFonts w:ascii="source sans 3" w:eastAsia="source sans 3" w:hAnsi="source sans 3" w:cs="source sans 3"/>
                <w:color w:val="000000"/>
                <w:sz w:val="17"/>
              </w:rPr>
              <w:t>$4.92B</w:t>
            </w:r>
          </w:p>
        </w:tc>
        <w:tc>
          <w:tcPr>
            <w:tcW w:w="0" w:type="auto"/>
            <w:tcBorders>
              <w:top w:val="single" w:sz="1" w:space="0" w:color="000000"/>
              <w:bottom w:val="single" w:sz="1" w:space="0" w:color="000000"/>
            </w:tcBorders>
          </w:tcPr>
          <w:p w14:paraId="518C7FFF" w14:textId="77777777" w:rsidR="00D33BD0" w:rsidRDefault="00000000">
            <w:pPr>
              <w:spacing w:line="360" w:lineRule="auto"/>
            </w:pPr>
            <w:r>
              <w:rPr>
                <w:rFonts w:ascii="source serif 4" w:eastAsia="source serif 4" w:hAnsi="source serif 4" w:cs="source serif 4"/>
                <w:b/>
                <w:color w:val="000000"/>
                <w:sz w:val="17"/>
              </w:rPr>
              <w:t>2.30×</w:t>
            </w:r>
          </w:p>
        </w:tc>
      </w:tr>
      <w:tr w:rsidR="00D33BD0" w14:paraId="2272E9B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158756E" w14:textId="77777777" w:rsidR="00D33BD0" w:rsidRDefault="00000000">
            <w:pPr>
              <w:spacing w:line="360" w:lineRule="auto"/>
            </w:pPr>
            <w:r>
              <w:rPr>
                <w:rFonts w:ascii="source sans 3" w:eastAsia="source sans 3" w:hAnsi="source sans 3" w:cs="source sans 3"/>
                <w:color w:val="000000"/>
                <w:sz w:val="17"/>
              </w:rPr>
              <w:t>Professional</w:t>
            </w:r>
          </w:p>
        </w:tc>
        <w:tc>
          <w:tcPr>
            <w:tcW w:w="0" w:type="auto"/>
            <w:tcBorders>
              <w:top w:val="single" w:sz="1" w:space="0" w:color="000000"/>
              <w:bottom w:val="single" w:sz="1" w:space="0" w:color="000000"/>
              <w:right w:val="single" w:sz="1" w:space="0" w:color="000000"/>
            </w:tcBorders>
          </w:tcPr>
          <w:p w14:paraId="099DAEF1" w14:textId="77777777" w:rsidR="00D33BD0" w:rsidRDefault="00000000">
            <w:pPr>
              <w:spacing w:line="360" w:lineRule="auto"/>
            </w:pPr>
            <w:r>
              <w:rPr>
                <w:rFonts w:ascii="source sans 3" w:eastAsia="source sans 3" w:hAnsi="source sans 3" w:cs="source sans 3"/>
                <w:color w:val="000000"/>
                <w:sz w:val="17"/>
              </w:rPr>
              <w:t>$11.58B</w:t>
            </w:r>
          </w:p>
        </w:tc>
        <w:tc>
          <w:tcPr>
            <w:tcW w:w="0" w:type="auto"/>
            <w:tcBorders>
              <w:top w:val="single" w:sz="1" w:space="0" w:color="000000"/>
              <w:bottom w:val="single" w:sz="1" w:space="0" w:color="000000"/>
              <w:right w:val="single" w:sz="1" w:space="0" w:color="000000"/>
            </w:tcBorders>
          </w:tcPr>
          <w:p w14:paraId="014D0CF3" w14:textId="77777777" w:rsidR="00D33BD0" w:rsidRDefault="00000000">
            <w:pPr>
              <w:spacing w:line="360" w:lineRule="auto"/>
            </w:pPr>
            <w:r>
              <w:rPr>
                <w:rFonts w:ascii="source sans 3" w:eastAsia="source sans 3" w:hAnsi="source sans 3" w:cs="source sans 3"/>
                <w:color w:val="000000"/>
                <w:sz w:val="17"/>
              </w:rPr>
              <w:t>$9.67B</w:t>
            </w:r>
          </w:p>
        </w:tc>
        <w:tc>
          <w:tcPr>
            <w:tcW w:w="0" w:type="auto"/>
            <w:tcBorders>
              <w:top w:val="single" w:sz="1" w:space="0" w:color="000000"/>
              <w:bottom w:val="single" w:sz="1" w:space="0" w:color="000000"/>
            </w:tcBorders>
          </w:tcPr>
          <w:p w14:paraId="03F67F01" w14:textId="77777777" w:rsidR="00D33BD0" w:rsidRDefault="00000000">
            <w:pPr>
              <w:spacing w:line="360" w:lineRule="auto"/>
            </w:pPr>
            <w:r>
              <w:rPr>
                <w:rFonts w:ascii="source serif 4" w:eastAsia="source serif 4" w:hAnsi="source serif 4" w:cs="source serif 4"/>
                <w:b/>
                <w:color w:val="000000"/>
                <w:sz w:val="17"/>
              </w:rPr>
              <w:t>1.20×</w:t>
            </w:r>
          </w:p>
        </w:tc>
      </w:tr>
      <w:tr w:rsidR="00D33BD0" w14:paraId="0035D9F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D7DA242" w14:textId="77777777" w:rsidR="00D33BD0" w:rsidRDefault="00000000">
            <w:pPr>
              <w:spacing w:line="360" w:lineRule="auto"/>
            </w:pPr>
            <w:r>
              <w:rPr>
                <w:rFonts w:ascii="source serif 4" w:eastAsia="source serif 4" w:hAnsi="source serif 4" w:cs="source serif 4"/>
                <w:b/>
                <w:color w:val="000000"/>
                <w:sz w:val="17"/>
              </w:rPr>
              <w:t>Blended (spending-weighted)</w:t>
            </w:r>
          </w:p>
        </w:tc>
        <w:tc>
          <w:tcPr>
            <w:tcW w:w="0" w:type="auto"/>
            <w:tcBorders>
              <w:top w:val="single" w:sz="1" w:space="0" w:color="000000"/>
              <w:bottom w:val="single" w:sz="1" w:space="0" w:color="000000"/>
              <w:right w:val="single" w:sz="1" w:space="0" w:color="000000"/>
            </w:tcBorders>
          </w:tcPr>
          <w:p w14:paraId="47C68EB6" w14:textId="77777777" w:rsidR="00D33BD0" w:rsidRDefault="00000000">
            <w:pPr>
              <w:spacing w:line="360" w:lineRule="auto"/>
            </w:pPr>
            <w:r>
              <w:rPr>
                <w:rFonts w:ascii="source serif 4" w:eastAsia="source serif 4" w:hAnsi="source serif 4" w:cs="source serif 4"/>
                <w:b/>
                <w:color w:val="000000"/>
                <w:sz w:val="17"/>
              </w:rPr>
              <w:t>$36.13B</w:t>
            </w:r>
          </w:p>
        </w:tc>
        <w:tc>
          <w:tcPr>
            <w:tcW w:w="0" w:type="auto"/>
            <w:tcBorders>
              <w:top w:val="single" w:sz="1" w:space="0" w:color="000000"/>
              <w:bottom w:val="single" w:sz="1" w:space="0" w:color="000000"/>
              <w:right w:val="single" w:sz="1" w:space="0" w:color="000000"/>
            </w:tcBorders>
          </w:tcPr>
          <w:p w14:paraId="275DBE50" w14:textId="77777777" w:rsidR="00D33BD0" w:rsidRDefault="00000000">
            <w:pPr>
              <w:spacing w:line="360" w:lineRule="auto"/>
            </w:pPr>
            <w:r>
              <w:rPr>
                <w:rFonts w:ascii="source serif 4" w:eastAsia="source serif 4" w:hAnsi="source serif 4" w:cs="source serif 4"/>
                <w:b/>
                <w:color w:val="000000"/>
                <w:sz w:val="17"/>
              </w:rPr>
              <w:t>$19.99B</w:t>
            </w:r>
          </w:p>
        </w:tc>
        <w:tc>
          <w:tcPr>
            <w:tcW w:w="0" w:type="auto"/>
            <w:tcBorders>
              <w:top w:val="single" w:sz="1" w:space="0" w:color="000000"/>
              <w:bottom w:val="single" w:sz="1" w:space="0" w:color="000000"/>
            </w:tcBorders>
          </w:tcPr>
          <w:p w14:paraId="525ACB4B" w14:textId="77777777" w:rsidR="00D33BD0" w:rsidRDefault="00000000">
            <w:pPr>
              <w:spacing w:line="360" w:lineRule="auto"/>
            </w:pPr>
            <w:r>
              <w:rPr>
                <w:rFonts w:ascii="source serif 4" w:eastAsia="source serif 4" w:hAnsi="source serif 4" w:cs="source serif 4"/>
                <w:b/>
                <w:color w:val="000000"/>
                <w:sz w:val="17"/>
              </w:rPr>
              <w:t>1.81×</w:t>
            </w:r>
          </w:p>
        </w:tc>
      </w:tr>
    </w:tbl>
    <w:p w14:paraId="2CF854F1" w14:textId="77777777" w:rsidR="00D33BD0" w:rsidRDefault="00D33BD0"/>
    <w:p w14:paraId="4DDF6476" w14:textId="77777777" w:rsidR="00D33BD0" w:rsidRDefault="00000000">
      <w:pPr>
        <w:spacing w:after="210" w:line="360" w:lineRule="auto"/>
      </w:pPr>
      <w:r>
        <w:rPr>
          <w:rFonts w:ascii="source serif 4" w:eastAsia="source serif 4" w:hAnsi="source serif 4" w:cs="source serif 4"/>
          <w:i/>
          <w:color w:val="000000"/>
        </w:rPr>
        <w:t>Source: Oxbridge Texas data.</w:t>
      </w:r>
      <w:r>
        <w:rPr>
          <w:rFonts w:ascii="source serif 4" w:eastAsia="source serif 4" w:hAnsi="source serif 4" w:cs="source serif 4"/>
          <w:color w:val="000000"/>
        </w:rPr>
        <w:t>[^1]</w:t>
      </w:r>
    </w:p>
    <w:p w14:paraId="0E1DF2F7" w14:textId="77777777" w:rsidR="00D33BD0" w:rsidRDefault="00000000">
      <w:pPr>
        <w:spacing w:after="210" w:line="360" w:lineRule="auto"/>
      </w:pPr>
      <w:r>
        <w:rPr>
          <w:rFonts w:ascii="source serif 4" w:eastAsia="source serif 4" w:hAnsi="source serif 4" w:cs="source serif 4"/>
          <w:color w:val="000000"/>
        </w:rPr>
        <w:t>These findings are consistent with national evidence: RAND's employer-led transparency initiative reports commercial hospital prices averaging 254% of Medicare in 2022; the Congressional Budget Office finds commercial hospital prices "more than double" Medicare; and MedPAC documents an aggregate hospital Medicare margin of approximately −13%. A purchaser who succeeds in compressing prices toward Medicare captures a real but bounded saving—and still confronts the efficiency variance that governs total episode cost.[^1]</w:t>
      </w:r>
    </w:p>
    <w:p w14:paraId="2DFE9704" w14:textId="77777777" w:rsidR="00D33BD0" w:rsidRDefault="008335B1">
      <w:pPr>
        <w:spacing w:before="210" w:after="0" w:line="360" w:lineRule="auto"/>
      </w:pPr>
      <w:r>
        <w:rPr>
          <w:noProof/>
        </w:rPr>
      </w:r>
      <w:r>
        <w:rPr>
          <w:noProof/>
        </w:rPr>
        <w:pict w14:anchorId="6EA1173C">
          <v:rect id="_x0000_s1036"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1AF45184" w14:textId="77777777" w:rsidR="00D33BD0" w:rsidRDefault="00000000">
      <w:pPr>
        <w:spacing w:before="315" w:after="105" w:line="360" w:lineRule="auto"/>
        <w:ind w:left="-30"/>
      </w:pPr>
      <w:bookmarkStart w:id="17" w:name="bm_5_the_mechanism_physician_prac_130799"/>
      <w:r>
        <w:rPr>
          <w:rFonts w:ascii="source serif 4" w:eastAsia="source serif 4" w:hAnsi="source serif 4" w:cs="source serif 4"/>
          <w:b/>
          <w:color w:val="000000"/>
          <w:sz w:val="24"/>
        </w:rPr>
        <w:t>5. The Mechanism: Physician Practice Style and Patient Preference</w:t>
      </w:r>
      <w:bookmarkEnd w:id="17"/>
    </w:p>
    <w:p w14:paraId="29E7FF5C" w14:textId="77777777" w:rsidR="00D33BD0" w:rsidRDefault="00000000">
      <w:pPr>
        <w:spacing w:before="315" w:after="105" w:line="360" w:lineRule="auto"/>
        <w:ind w:left="-30"/>
      </w:pPr>
      <w:bookmarkStart w:id="18" w:name="bm_5_1_physician_practice_style_a_b05fd1"/>
      <w:r>
        <w:rPr>
          <w:rFonts w:ascii="source serif 4" w:eastAsia="source serif 4" w:hAnsi="source serif 4" w:cs="source serif 4"/>
          <w:b/>
          <w:color w:val="000000"/>
          <w:sz w:val="24"/>
        </w:rPr>
        <w:t>5.1 Physician Practice Style as the Primary Driver</w:t>
      </w:r>
      <w:bookmarkEnd w:id="18"/>
    </w:p>
    <w:p w14:paraId="443C2E0F" w14:textId="77777777" w:rsidR="00D33BD0" w:rsidRDefault="00000000">
      <w:pPr>
        <w:spacing w:after="210" w:line="360" w:lineRule="auto"/>
      </w:pPr>
      <w:r>
        <w:rPr>
          <w:rFonts w:ascii="source serif 4" w:eastAsia="source serif 4" w:hAnsi="source serif 4" w:cs="source serif 4"/>
          <w:color w:val="000000"/>
        </w:rPr>
        <w:t>If efficiency rather than price governs most cost variance, the natural question is why providers treating the same condition in the same city deliver such different quantities of care. Five decades of research furnish a consistent answer: physician practice style and belief, far more than patient demand, drive the efficiency variance.[^1]</w:t>
      </w:r>
    </w:p>
    <w:p w14:paraId="53BFD3C8" w14:textId="77777777" w:rsidR="00D33BD0" w:rsidRDefault="00000000">
      <w:pPr>
        <w:spacing w:after="210" w:line="360" w:lineRule="auto"/>
      </w:pPr>
      <w:r>
        <w:rPr>
          <w:rFonts w:ascii="source serif 4" w:eastAsia="source serif 4" w:hAnsi="source serif 4" w:cs="source serif 4"/>
          <w:color w:val="000000"/>
        </w:rPr>
        <w:t>The Dartmouth Atlas of Health Care documented systematic geographic variation across more than 300 hospital referral regions, showing that supply-sensitive care—services whose use tracks local resource availability rather than clinical evidence—accounted for well over half of Medicare spending, running 66% higher in the highest-cost regions than the lowest, while effective and preference-sensitive care were essentially unchanged. The most rigorous natural-experiment studies converge on a quantitative estimate: physicians account for roughly 30–35% of geographic variation in utilization and are conservatively three times as important as non-physician supply-side factors.[</w:t>
      </w:r>
      <w:r>
        <w:rPr>
          <w:rFonts w:ascii="source serif 4" w:eastAsia="source serif 4" w:hAnsi="source serif 4" w:cs="source serif 4"/>
          <w:color w:val="000000"/>
          <w:vertAlign w:val="superscript"/>
        </w:rPr>
        <w:t>2][</w:t>
      </w:r>
      <w:r>
        <w:rPr>
          <w:rFonts w:ascii="source serif 4" w:eastAsia="source serif 4" w:hAnsi="source serif 4" w:cs="source serif 4"/>
          <w:color w:val="000000"/>
        </w:rPr>
        <w:t>1]</w:t>
      </w:r>
    </w:p>
    <w:p w14:paraId="012C93CD" w14:textId="77777777" w:rsidR="00D33BD0" w:rsidRDefault="00000000">
      <w:pPr>
        <w:spacing w:after="210" w:line="360" w:lineRule="auto"/>
      </w:pPr>
      <w:r>
        <w:rPr>
          <w:rFonts w:ascii="source serif 4" w:eastAsia="source serif 4" w:hAnsi="source serif 4" w:cs="source serif 4"/>
          <w:color w:val="000000"/>
        </w:rPr>
        <w:t xml:space="preserve">Specific mechanisms include: clinical beliefs not grounded in evidence; training and the culture of the institution where a physician learned to practice; the norms of the physician's current group; the availability of local capacity (the "if it is there, it gets used" phenomenon); and financial incentives. Physician beliefs unsupported by clinical evidence explain approximately 35% of end-of-life spending variation and 12% of all-enrollee variation; in some specifications, knowing how a small sample of local </w:t>
      </w:r>
      <w:r>
        <w:rPr>
          <w:rFonts w:ascii="source serif 4" w:eastAsia="source serif 4" w:hAnsi="source serif 4" w:cs="source serif 4"/>
          <w:color w:val="000000"/>
        </w:rPr>
        <w:lastRenderedPageBreak/>
        <w:t>physicians would treat hypothetical patients explains over half of end-of-life spending variation. When a patient is reassigned to a physician whose panel costs one dollar more, that patient's own spending rises by approximately 48 cents within the first year—direct evidence of physician style as the cost-transmission mechanism.[^1]</w:t>
      </w:r>
    </w:p>
    <w:p w14:paraId="262EC16B" w14:textId="77777777" w:rsidR="00D33BD0" w:rsidRDefault="00000000">
      <w:pPr>
        <w:spacing w:after="210" w:line="360" w:lineRule="auto"/>
      </w:pPr>
      <w:r>
        <w:rPr>
          <w:rFonts w:ascii="source serif 4" w:eastAsia="source serif 4" w:hAnsi="source serif 4" w:cs="source serif 4"/>
          <w:color w:val="000000"/>
        </w:rPr>
        <w:t>Within individual practice settings, the magnitude of physician-specific variation is equally striking. Within a single emergency department, physicians at the 75th percentile of spending exceed those at the 25th by approximately 20% for comparable patients. Cardiologists who migrate between markets carry a meaningful core of their practice style with them even as they gradually converge toward local norms, behavior estimated as roughly 60–80% environmental and 20–40% intrinsic—confirming that physician preference is a real, persistent, and partially portable characteristic.[^1]</w:t>
      </w:r>
    </w:p>
    <w:p w14:paraId="6ABEE436" w14:textId="77777777" w:rsidR="00D33BD0" w:rsidRDefault="00000000">
      <w:pPr>
        <w:spacing w:before="315" w:after="105" w:line="360" w:lineRule="auto"/>
        <w:ind w:left="-30"/>
      </w:pPr>
      <w:bookmarkStart w:id="19" w:name="bm_5_2_fee_for_service_and_financ_bb93c0"/>
      <w:r>
        <w:rPr>
          <w:rFonts w:ascii="source serif 4" w:eastAsia="source serif 4" w:hAnsi="source serif 4" w:cs="source serif 4"/>
          <w:b/>
          <w:color w:val="000000"/>
          <w:sz w:val="24"/>
        </w:rPr>
        <w:t>5.2 Fee-for-Service and Financial Incentives</w:t>
      </w:r>
      <w:bookmarkEnd w:id="19"/>
    </w:p>
    <w:p w14:paraId="3845D5C1" w14:textId="77777777" w:rsidR="00D33BD0" w:rsidRDefault="00000000">
      <w:pPr>
        <w:spacing w:after="210" w:line="360" w:lineRule="auto"/>
      </w:pPr>
      <w:r>
        <w:rPr>
          <w:rFonts w:ascii="source serif 4" w:eastAsia="source serif 4" w:hAnsi="source serif 4" w:cs="source serif 4"/>
          <w:color w:val="000000"/>
        </w:rPr>
        <w:t>Financial incentives operating under fee-for-service payment reinforce clinical style variation. Under fee-for-service—the dominant commercial payment model—physicians earn more by delivering more, creating an incentive for higher utilization that operates alongside and can amplify clinical belief. In maternity care, a $100 increase in the fee differential between cesarean and vaginal delivery is associated with a 3.4% rise in the primary cesarean rate, and women delivering where cesarean sections are more profitable face measurably higher cesarean probability. In spine care, a 2025 Lown Institute analysis of Medicare claims attributed more than 200,000 unnecessary back operations over three years—approximately $2 billion in expenditure—to overuse, with 60% of the overuse concentrated in 10% of physicians.[^1]</w:t>
      </w:r>
    </w:p>
    <w:p w14:paraId="6A261F15" w14:textId="77777777" w:rsidR="00D33BD0" w:rsidRDefault="00000000">
      <w:pPr>
        <w:spacing w:before="315" w:after="105" w:line="360" w:lineRule="auto"/>
        <w:ind w:left="-30"/>
      </w:pPr>
      <w:bookmarkStart w:id="20" w:name="bm_5_3_episode_level_illustration_ede782"/>
      <w:r>
        <w:rPr>
          <w:rFonts w:ascii="source serif 4" w:eastAsia="source serif 4" w:hAnsi="source serif 4" w:cs="source serif 4"/>
          <w:b/>
          <w:color w:val="000000"/>
          <w:sz w:val="24"/>
        </w:rPr>
        <w:t>5.3 Episode-Level Illustrations of Physician Preference Effects</w:t>
      </w:r>
      <w:bookmarkEnd w:id="20"/>
    </w:p>
    <w:p w14:paraId="53835DE4" w14:textId="77777777" w:rsidR="00D33BD0" w:rsidRDefault="00000000">
      <w:pPr>
        <w:spacing w:after="210" w:line="360" w:lineRule="auto"/>
      </w:pPr>
      <w:r>
        <w:rPr>
          <w:rFonts w:ascii="source serif 4" w:eastAsia="source serif 4" w:hAnsi="source serif 4" w:cs="source serif 4"/>
          <w:color w:val="000000"/>
        </w:rPr>
        <w:t>Specific high-impact episodes illustrate the breadth and magnitude of preference-driven cost variance:[^1]</w:t>
      </w:r>
    </w:p>
    <w:p w14:paraId="71B5D7EE" w14:textId="77777777" w:rsidR="00D33BD0" w:rsidRDefault="00000000">
      <w:pPr>
        <w:numPr>
          <w:ilvl w:val="0"/>
          <w:numId w:val="1"/>
        </w:numPr>
        <w:spacing w:before="105" w:after="105" w:line="360" w:lineRule="auto"/>
      </w:pPr>
      <w:r>
        <w:rPr>
          <w:rFonts w:ascii="source serif 4" w:eastAsia="source serif 4" w:hAnsi="source serif 4" w:cs="source serif 4"/>
          <w:b/>
          <w:color w:val="000000"/>
        </w:rPr>
        <w:t>Lumbar spine surgery:</w:t>
      </w:r>
      <w:r>
        <w:rPr>
          <w:rFonts w:ascii="source serif 4" w:eastAsia="source serif 4" w:hAnsi="source serif 4" w:cs="source serif 4"/>
          <w:color w:val="000000"/>
        </w:rPr>
        <w:t xml:space="preserve"> Decompression-alone rates among Medicare patients with stenosis and degenerative spondylolisthesis fell from 32.6% in 2016 to 9.6% in 2019 while fusion rates rose from 67.4% to 90.4%, despite randomized evidence finding no benefit of fusion over decompression alone. Decompression costs $7,000–$12,000 per episode; instrumented fusion costs $15,000–$30,000 or more.</w:t>
      </w:r>
    </w:p>
    <w:p w14:paraId="6829B913" w14:textId="77777777" w:rsidR="00D33BD0" w:rsidRDefault="00000000">
      <w:pPr>
        <w:numPr>
          <w:ilvl w:val="0"/>
          <w:numId w:val="1"/>
        </w:numPr>
        <w:spacing w:before="105" w:after="105" w:line="360" w:lineRule="auto"/>
      </w:pPr>
      <w:r>
        <w:rPr>
          <w:rFonts w:ascii="source serif 4" w:eastAsia="source serif 4" w:hAnsi="source serif 4" w:cs="source serif 4"/>
          <w:b/>
          <w:color w:val="000000"/>
        </w:rPr>
        <w:t>Joint replacement implants:</w:t>
      </w:r>
      <w:r>
        <w:rPr>
          <w:rFonts w:ascii="source serif 4" w:eastAsia="source serif 4" w:hAnsi="source serif 4" w:cs="source serif 4"/>
          <w:color w:val="000000"/>
        </w:rPr>
        <w:t xml:space="preserve"> Average implant cost per case ranges from $1,797 to $12,093 for total knee replacement </w:t>
      </w:r>
      <w:r>
        <w:rPr>
          <w:rFonts w:ascii="source serif 4" w:eastAsia="source serif 4" w:hAnsi="source serif 4" w:cs="source serif 4"/>
          <w:i/>
          <w:color w:val="000000"/>
        </w:rPr>
        <w:t>within the same institution</w:t>
      </w:r>
      <w:r>
        <w:rPr>
          <w:rFonts w:ascii="source serif 4" w:eastAsia="source serif 4" w:hAnsi="source serif 4" w:cs="source serif 4"/>
          <w:color w:val="000000"/>
        </w:rPr>
        <w:t>, driven by surgeon loyalty to vendor relationships rather than clinical evidence of superior outcomes.</w:t>
      </w:r>
    </w:p>
    <w:p w14:paraId="23ADF23C" w14:textId="77777777" w:rsidR="00D33BD0" w:rsidRDefault="00000000">
      <w:pPr>
        <w:numPr>
          <w:ilvl w:val="0"/>
          <w:numId w:val="1"/>
        </w:numPr>
        <w:spacing w:before="105" w:after="105" w:line="360" w:lineRule="auto"/>
      </w:pPr>
      <w:r>
        <w:rPr>
          <w:rFonts w:ascii="source serif 4" w:eastAsia="source serif 4" w:hAnsi="source serif 4" w:cs="source serif 4"/>
          <w:b/>
          <w:color w:val="000000"/>
        </w:rPr>
        <w:lastRenderedPageBreak/>
        <w:t>Stable coronary disease:</w:t>
      </w:r>
      <w:r>
        <w:rPr>
          <w:rFonts w:ascii="source serif 4" w:eastAsia="source serif 4" w:hAnsi="source serif 4" w:cs="source serif 4"/>
          <w:color w:val="000000"/>
        </w:rPr>
        <w:t xml:space="preserve"> Optimal medical therapy carries a lifetime cost of approximately $22,952 versus $25,081 for bare-metal stent and $25,536 for drug-eluting stent percutaneous coronary intervention, yet the more expensive interventional option is frequently preferred, with per-episode differences of $2,000–$12,000.</w:t>
      </w:r>
    </w:p>
    <w:p w14:paraId="6332A396" w14:textId="77777777" w:rsidR="00D33BD0" w:rsidRDefault="00000000">
      <w:pPr>
        <w:numPr>
          <w:ilvl w:val="0"/>
          <w:numId w:val="1"/>
        </w:numPr>
        <w:spacing w:before="105" w:after="105" w:line="360" w:lineRule="auto"/>
      </w:pPr>
      <w:r>
        <w:rPr>
          <w:rFonts w:ascii="source serif 4" w:eastAsia="source serif 4" w:hAnsi="source serif 4" w:cs="source serif 4"/>
          <w:b/>
          <w:color w:val="000000"/>
        </w:rPr>
        <w:t>Autoimmune and dermatologic care:</w:t>
      </w:r>
      <w:r>
        <w:rPr>
          <w:rFonts w:ascii="source serif 4" w:eastAsia="source serif 4" w:hAnsi="source serif 4" w:cs="source serif 4"/>
          <w:color w:val="000000"/>
        </w:rPr>
        <w:t xml:space="preserve"> Annual costs per treated patient for biologic therapies commonly exceed $25,000 and reach beyond $80,000; timing of biologic initiation and agent selection are highly physician-specific with limited outcome differentiation.</w:t>
      </w:r>
    </w:p>
    <w:p w14:paraId="28BAAFC0" w14:textId="77777777" w:rsidR="00D33BD0" w:rsidRDefault="00000000">
      <w:pPr>
        <w:numPr>
          <w:ilvl w:val="0"/>
          <w:numId w:val="1"/>
        </w:numPr>
        <w:spacing w:before="105" w:after="105" w:line="360" w:lineRule="auto"/>
      </w:pPr>
      <w:r>
        <w:rPr>
          <w:rFonts w:ascii="source serif 4" w:eastAsia="source serif 4" w:hAnsi="source serif 4" w:cs="source serif 4"/>
          <w:b/>
          <w:color w:val="000000"/>
        </w:rPr>
        <w:t>Hysterectomy:</w:t>
      </w:r>
      <w:r>
        <w:rPr>
          <w:rFonts w:ascii="source serif 4" w:eastAsia="source serif 4" w:hAnsi="source serif 4" w:cs="source serif 4"/>
          <w:color w:val="000000"/>
        </w:rPr>
        <w:t xml:space="preserve"> The choice between open and minimally invasive approaches, and between surgery and conservative management, accounts for half to two-thirds of procedure-rate variation unexplained by patient factors, with open approaches adding $3,000–$6,000 per case.</w:t>
      </w:r>
    </w:p>
    <w:p w14:paraId="1CF50EB3" w14:textId="77777777" w:rsidR="00D33BD0" w:rsidRDefault="00000000">
      <w:pPr>
        <w:spacing w:after="210" w:line="360" w:lineRule="auto"/>
      </w:pPr>
      <w:r>
        <w:rPr>
          <w:rFonts w:ascii="source serif 4" w:eastAsia="source serif 4" w:hAnsi="source serif 4" w:cs="source serif 4"/>
          <w:color w:val="000000"/>
        </w:rPr>
        <w:t>Across these episodes, the common thread is that the consequential decision—to operate or manage medically, to select one implant or drug over another, to route a patient to post-acute care or home—rests with the physician, is only loosely constrained by evidence, and is rarely visible to the purchaser in advance. Higher cost in these settings is not associated with better outcomes; where outcomes differ, the correlation with cost is neutral or mildly negative, since additional services tend to generate additional complications rather than additional health.[^1]</w:t>
      </w:r>
    </w:p>
    <w:p w14:paraId="0041BA7B" w14:textId="77777777" w:rsidR="00D33BD0" w:rsidRDefault="00000000">
      <w:pPr>
        <w:spacing w:before="315" w:after="105" w:line="360" w:lineRule="auto"/>
        <w:ind w:left="-30"/>
      </w:pPr>
      <w:bookmarkStart w:id="21" w:name="bm_5_4_patient_preference_real_bu_856d6a"/>
      <w:r>
        <w:rPr>
          <w:rFonts w:ascii="source serif 4" w:eastAsia="source serif 4" w:hAnsi="source serif 4" w:cs="source serif 4"/>
          <w:b/>
          <w:color w:val="000000"/>
          <w:sz w:val="24"/>
        </w:rPr>
        <w:t>5.4 Patient Preference: Real but Secondary</w:t>
      </w:r>
      <w:bookmarkEnd w:id="21"/>
    </w:p>
    <w:p w14:paraId="749B9ECD" w14:textId="77777777" w:rsidR="00D33BD0" w:rsidRDefault="00000000">
      <w:pPr>
        <w:spacing w:after="210" w:line="360" w:lineRule="auto"/>
      </w:pPr>
      <w:r>
        <w:rPr>
          <w:rFonts w:ascii="source serif 4" w:eastAsia="source serif 4" w:hAnsi="source serif 4" w:cs="source serif 4"/>
          <w:color w:val="000000"/>
        </w:rPr>
        <w:t>Patient preference is a smaller but non-trivial driver of cost variation, operating through a distinct mechanism that has important policy implications. Measured directly through survey-based instruments linked to spending, patient preferences explain approximately 5% of geographic variation in total Medicare spending—far smaller than physician-driven effects but not negligible. Demand-side factors as a whole explain 40–50% of geographic variation when isolated by patient migration, but the preference-specific share within that broad category is substantially smaller than the health-status share.[^1]</w:t>
      </w:r>
    </w:p>
    <w:p w14:paraId="11281F6E" w14:textId="77777777" w:rsidR="00D33BD0" w:rsidRDefault="00000000">
      <w:pPr>
        <w:spacing w:after="210" w:line="360" w:lineRule="auto"/>
      </w:pPr>
      <w:r>
        <w:rPr>
          <w:rFonts w:ascii="source serif 4" w:eastAsia="source serif 4" w:hAnsi="source serif 4" w:cs="source serif 4"/>
          <w:color w:val="000000"/>
        </w:rPr>
        <w:t>Critically, much of what is recorded as "patient demand" is undisclosed physician preference operating through information asymmetry: for benign prostatic hyperplasia, only 14% of fully informed patients preferred operative management when provided with structured decision aids, implying that the bulk of surgical volume reflects the physician's default recommendation rather than an informed patient choice. A 2023 analysis demonstrated that a 3% increase in shared decision-making was associated with approximately a 10% decrease in healthcare expenditures, an effect that strengthened when patient and physician shared racial or ethnic background—evidence that communication quality and trust, not the denial of care, drive the savings.[^1]</w:t>
      </w:r>
    </w:p>
    <w:p w14:paraId="4B4A718A" w14:textId="77777777" w:rsidR="00D33BD0" w:rsidRDefault="008335B1">
      <w:pPr>
        <w:spacing w:before="210" w:after="0" w:line="360" w:lineRule="auto"/>
      </w:pPr>
      <w:r>
        <w:rPr>
          <w:noProof/>
        </w:rPr>
      </w:r>
      <w:r>
        <w:rPr>
          <w:noProof/>
        </w:rPr>
        <w:pict w14:anchorId="0BF133E9">
          <v:rect id="_x0000_s1035"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01F285EA" w14:textId="77777777" w:rsidR="00D33BD0" w:rsidRDefault="00000000">
      <w:pPr>
        <w:spacing w:before="315" w:after="105" w:line="360" w:lineRule="auto"/>
        <w:ind w:left="-30"/>
      </w:pPr>
      <w:bookmarkStart w:id="22" w:name="bm_6_the_waste_context_quantifyin_4a2314"/>
      <w:r>
        <w:rPr>
          <w:rFonts w:ascii="source serif 4" w:eastAsia="source serif 4" w:hAnsi="source serif 4" w:cs="source serif 4"/>
          <w:b/>
          <w:color w:val="000000"/>
          <w:sz w:val="24"/>
        </w:rPr>
        <w:lastRenderedPageBreak/>
        <w:t>6. The Waste Context: Quantifying the Opportunity</w:t>
      </w:r>
      <w:bookmarkEnd w:id="22"/>
    </w:p>
    <w:p w14:paraId="5008201F" w14:textId="77777777" w:rsidR="00D33BD0" w:rsidRDefault="00000000">
      <w:pPr>
        <w:spacing w:before="315" w:after="105" w:line="360" w:lineRule="auto"/>
        <w:ind w:left="-30"/>
      </w:pPr>
      <w:bookmarkStart w:id="23" w:name="bm_6_1_system_level_waste_estimates"/>
      <w:r>
        <w:rPr>
          <w:rFonts w:ascii="source serif 4" w:eastAsia="source serif 4" w:hAnsi="source serif 4" w:cs="source serif 4"/>
          <w:b/>
          <w:color w:val="000000"/>
          <w:sz w:val="24"/>
        </w:rPr>
        <w:t>6.1 System-Level Waste Estimates</w:t>
      </w:r>
      <w:bookmarkEnd w:id="23"/>
    </w:p>
    <w:p w14:paraId="62C5355B" w14:textId="77777777" w:rsidR="00D33BD0" w:rsidRDefault="00000000">
      <w:pPr>
        <w:spacing w:after="210" w:line="360" w:lineRule="auto"/>
      </w:pPr>
      <w:r>
        <w:rPr>
          <w:rFonts w:ascii="source serif 4" w:eastAsia="source serif 4" w:hAnsi="source serif 4" w:cs="source serif 4"/>
          <w:color w:val="000000"/>
        </w:rPr>
        <w:t xml:space="preserve">The efficiency variance documented in episode-level data is the provider-level expression of a system-level waste problem. Berwick and Hackbarth's foundational 2012 </w:t>
      </w:r>
      <w:r>
        <w:rPr>
          <w:rFonts w:ascii="source serif 4" w:eastAsia="source serif 4" w:hAnsi="source serif 4" w:cs="source serif 4"/>
          <w:i/>
          <w:color w:val="000000"/>
        </w:rPr>
        <w:t>JAMA</w:t>
      </w:r>
      <w:r>
        <w:rPr>
          <w:rFonts w:ascii="source serif 4" w:eastAsia="source serif 4" w:hAnsi="source serif 4" w:cs="source serif 4"/>
          <w:color w:val="000000"/>
        </w:rPr>
        <w:t xml:space="preserve"> analysis estimated that waste in six categories—overtreatment, failures of care coordination, failures in execution of care processes, administrative complexity, pricing failures, and fraud and abuse—exceeded 20% of total U.S. healthcare expenditures at minimum, with higher estimates reaching 34%.[^3]</w:t>
      </w:r>
    </w:p>
    <w:p w14:paraId="429CCAB6" w14:textId="77777777" w:rsidR="00D33BD0" w:rsidRDefault="00000000">
      <w:pPr>
        <w:spacing w:after="210" w:line="360" w:lineRule="auto"/>
      </w:pPr>
      <w:r>
        <w:rPr>
          <w:rFonts w:ascii="source serif 4" w:eastAsia="source serif 4" w:hAnsi="source serif 4" w:cs="source serif 4"/>
          <w:color w:val="000000"/>
        </w:rPr>
        <w:t xml:space="preserve">Shrank, Rogstad, and Parekh's 2019 </w:t>
      </w:r>
      <w:r>
        <w:rPr>
          <w:rFonts w:ascii="source serif 4" w:eastAsia="source serif 4" w:hAnsi="source serif 4" w:cs="source serif 4"/>
          <w:i/>
          <w:color w:val="000000"/>
        </w:rPr>
        <w:t>JAMA</w:t>
      </w:r>
      <w:r>
        <w:rPr>
          <w:rFonts w:ascii="source serif 4" w:eastAsia="source serif 4" w:hAnsi="source serif 4" w:cs="source serif 4"/>
          <w:color w:val="000000"/>
        </w:rPr>
        <w:t xml:space="preserve"> update, drawing on 54 peer-reviewed publications and government reports, estimated annual healthcare waste at $760 billion to $935 billion—approximately 25% of all U.S. healthcare spending. The potential savings from interventions targeting waste were estimated at $191 billion to $282 billion annually. The overtreatment category alone—low-value care delivering no clinical benefit—accounts for $75.7 billion to $101.2 billion annually, and sits within exactly the domain where physician practice style, rather than patient need or clinical evidence, is the primary determinant.[^2]</w:t>
      </w:r>
    </w:p>
    <w:p w14:paraId="14197C1D" w14:textId="77777777" w:rsidR="00D33BD0" w:rsidRDefault="00000000">
      <w:pPr>
        <w:spacing w:before="315" w:after="105" w:line="360" w:lineRule="auto"/>
        <w:ind w:left="-30"/>
      </w:pPr>
      <w:bookmarkStart w:id="24" w:name="bm_6_2_the_waste_opportunity_and_b38da6"/>
      <w:r>
        <w:rPr>
          <w:rFonts w:ascii="source serif 4" w:eastAsia="source serif 4" w:hAnsi="source serif 4" w:cs="source serif 4"/>
          <w:b/>
          <w:color w:val="000000"/>
          <w:sz w:val="24"/>
        </w:rPr>
        <w:t>6.2 The Waste Opportunity and Episode Measurement</w:t>
      </w:r>
      <w:bookmarkEnd w:id="24"/>
    </w:p>
    <w:p w14:paraId="30BB2FC4" w14:textId="77777777" w:rsidR="00D33BD0" w:rsidRDefault="00000000">
      <w:pPr>
        <w:spacing w:after="210" w:line="360" w:lineRule="auto"/>
      </w:pPr>
      <w:r>
        <w:rPr>
          <w:rFonts w:ascii="source serif 4" w:eastAsia="source serif 4" w:hAnsi="source serif 4" w:cs="source serif 4"/>
          <w:color w:val="000000"/>
        </w:rPr>
        <w:t>The waste literature and the episode variance literature describe the same phenomenon from different vantage points. Waste is the aggregate system measure of inefficiency; episode cost variance is its disaggregated, provider-attributed expression. The policy implication of connecting the two bodies of evidence is that the $760–$935 billion waste opportunity is not uniformly distributed across the healthcare system—it is concentrated in specific physicians, specific practice patterns, and specific clinical episode types that episode-level measurement can identify, attribute, and target.[</w:t>
      </w:r>
      <w:r>
        <w:rPr>
          <w:rFonts w:ascii="source serif 4" w:eastAsia="source serif 4" w:hAnsi="source serif 4" w:cs="source serif 4"/>
          <w:color w:val="000000"/>
          <w:vertAlign w:val="superscript"/>
        </w:rPr>
        <w:t>2][</w:t>
      </w:r>
      <w:r>
        <w:rPr>
          <w:rFonts w:ascii="source serif 4" w:eastAsia="source serif 4" w:hAnsi="source serif 4" w:cs="source serif 4"/>
          <w:color w:val="000000"/>
        </w:rPr>
        <w:t>1]</w:t>
      </w:r>
    </w:p>
    <w:p w14:paraId="182433C5" w14:textId="77777777" w:rsidR="00D33BD0" w:rsidRDefault="008335B1">
      <w:pPr>
        <w:spacing w:before="210" w:after="0" w:line="360" w:lineRule="auto"/>
      </w:pPr>
      <w:r>
        <w:rPr>
          <w:noProof/>
        </w:rPr>
      </w:r>
      <w:r>
        <w:rPr>
          <w:noProof/>
        </w:rPr>
        <w:pict w14:anchorId="3E9E0569">
          <v:rect id="_x0000_s1034"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3FE2BD92" w14:textId="77777777" w:rsidR="00D33BD0" w:rsidRDefault="00000000">
      <w:pPr>
        <w:spacing w:before="315" w:after="105" w:line="360" w:lineRule="auto"/>
        <w:ind w:left="-30"/>
      </w:pPr>
      <w:bookmarkStart w:id="25" w:name="bm_7_episode_based_payment_models_a75aeb"/>
      <w:r>
        <w:rPr>
          <w:rFonts w:ascii="source serif 4" w:eastAsia="source serif 4" w:hAnsi="source serif 4" w:cs="source serif 4"/>
          <w:b/>
          <w:color w:val="000000"/>
          <w:sz w:val="24"/>
        </w:rPr>
        <w:t>7. Episode-Based Payment Models: Evidence of Effectiveness and Inherent Limitations</w:t>
      </w:r>
      <w:bookmarkEnd w:id="25"/>
    </w:p>
    <w:p w14:paraId="788F5BEF" w14:textId="77777777" w:rsidR="00D33BD0" w:rsidRDefault="00000000">
      <w:pPr>
        <w:spacing w:before="315" w:after="105" w:line="360" w:lineRule="auto"/>
        <w:ind w:left="-30"/>
      </w:pPr>
      <w:bookmarkStart w:id="26" w:name="bm_7_1_the_logic_of_episode_based_edacfc"/>
      <w:r>
        <w:rPr>
          <w:rFonts w:ascii="source serif 4" w:eastAsia="source serif 4" w:hAnsi="source serif 4" w:cs="source serif 4"/>
          <w:b/>
          <w:color w:val="000000"/>
          <w:sz w:val="24"/>
        </w:rPr>
        <w:t>7.1 The Logic of Episode-Based Payment</w:t>
      </w:r>
      <w:bookmarkEnd w:id="26"/>
    </w:p>
    <w:p w14:paraId="2EC6CE1F" w14:textId="77777777" w:rsidR="00D33BD0" w:rsidRDefault="00000000">
      <w:pPr>
        <w:spacing w:after="210" w:line="360" w:lineRule="auto"/>
      </w:pPr>
      <w:r>
        <w:rPr>
          <w:rFonts w:ascii="source serif 4" w:eastAsia="source serif 4" w:hAnsi="source serif 4" w:cs="source serif 4"/>
          <w:color w:val="000000"/>
        </w:rPr>
        <w:t>Episode-based (bundled) payment models operationalize the value framework by establishing a single prospective or retrospective payment covering all services provided during a defined clinical episode, typically from inpatient admission through 90 days post-discharge. The financial accountability structure incentivizes care coordination across the episode, reduces reliance on high-cost post-acute care settings, and creates measurement feedback loops for quality improvement.[</w:t>
      </w:r>
      <w:r>
        <w:rPr>
          <w:rFonts w:ascii="source serif 4" w:eastAsia="source serif 4" w:hAnsi="source serif 4" w:cs="source serif 4"/>
          <w:color w:val="000000"/>
          <w:vertAlign w:val="superscript"/>
        </w:rPr>
        <w:t>2][</w:t>
      </w:r>
      <w:r>
        <w:rPr>
          <w:rFonts w:ascii="source serif 4" w:eastAsia="source serif 4" w:hAnsi="source serif 4" w:cs="source serif 4"/>
          <w:color w:val="000000"/>
        </w:rPr>
        <w:t>1]</w:t>
      </w:r>
    </w:p>
    <w:p w14:paraId="1BDE3D20" w14:textId="77777777" w:rsidR="00D33BD0" w:rsidRDefault="00000000">
      <w:pPr>
        <w:spacing w:after="210" w:line="360" w:lineRule="auto"/>
      </w:pPr>
      <w:r>
        <w:rPr>
          <w:rFonts w:ascii="source serif 4" w:eastAsia="source serif 4" w:hAnsi="source serif 4" w:cs="source serif 4"/>
          <w:color w:val="000000"/>
        </w:rPr>
        <w:lastRenderedPageBreak/>
        <w:t xml:space="preserve">The crucial distinction between episode-based models and traditional fee-for-service payment is that the former acts on the whole episode </w:t>
      </w:r>
      <w:r>
        <w:rPr>
          <w:rFonts w:ascii="source serif 4" w:eastAsia="source serif 4" w:hAnsi="source serif 4" w:cs="source serif 4"/>
          <w:i/>
          <w:color w:val="000000"/>
        </w:rPr>
        <w:t>upstream</w:t>
      </w:r>
      <w:r>
        <w:rPr>
          <w:rFonts w:ascii="source serif 4" w:eastAsia="source serif 4" w:hAnsi="source serif 4" w:cs="source serif 4"/>
          <w:color w:val="000000"/>
        </w:rPr>
        <w:t>—combining price transparency, provider selection, bundled pricing, and patient incentives before care occurs—rather than contesting individual services one at a time after clinical decisions are made. This upstream orientation is what makes episode-based models fundamentally different from, and more effective than, utilization management.[^1]</w:t>
      </w:r>
    </w:p>
    <w:p w14:paraId="37DBC181" w14:textId="77777777" w:rsidR="00D33BD0" w:rsidRDefault="00000000">
      <w:pPr>
        <w:spacing w:before="315" w:after="105" w:line="360" w:lineRule="auto"/>
        <w:ind w:left="-30"/>
      </w:pPr>
      <w:bookmarkStart w:id="27" w:name="bm_7_2_comprehensive_care_for_joi_604976"/>
      <w:r>
        <w:rPr>
          <w:rFonts w:ascii="source serif 4" w:eastAsia="source serif 4" w:hAnsi="source serif 4" w:cs="source serif 4"/>
          <w:b/>
          <w:color w:val="000000"/>
          <w:sz w:val="24"/>
        </w:rPr>
        <w:t>7.2 Comprehensive Care for Joint Replacement (CJR): Performance and Structural Constraints</w:t>
      </w:r>
      <w:bookmarkEnd w:id="27"/>
    </w:p>
    <w:p w14:paraId="049B3348" w14:textId="77777777" w:rsidR="00D33BD0" w:rsidRDefault="00000000">
      <w:pPr>
        <w:spacing w:after="210" w:line="360" w:lineRule="auto"/>
      </w:pPr>
      <w:r>
        <w:rPr>
          <w:rFonts w:ascii="source serif 4" w:eastAsia="source serif 4" w:hAnsi="source serif 4" w:cs="source serif 4"/>
          <w:color w:val="000000"/>
        </w:rPr>
        <w:t>The CJR model, launched April 1, 2016, is CMS's most extensively studied mandatory episode-based payment program, covering lower extremity joint replacement (LEJR) in 67 randomly selected metropolitan statistical areas. Five annual evaluation reports covering April 2016 through September 2021 document consistent cost reductions paired with quality maintenance or improvement:[</w:t>
      </w:r>
      <w:r>
        <w:rPr>
          <w:rFonts w:ascii="source serif 4" w:eastAsia="source serif 4" w:hAnsi="source serif 4" w:cs="source serif 4"/>
          <w:color w:val="000000"/>
          <w:vertAlign w:val="superscript"/>
        </w:rPr>
        <w:t>2][</w:t>
      </w:r>
      <w:r>
        <w:rPr>
          <w:rFonts w:ascii="source serif 4" w:eastAsia="source serif 4" w:hAnsi="source serif 4" w:cs="source serif 4"/>
          <w:color w:val="000000"/>
        </w:rPr>
        <w:t>1]</w:t>
      </w:r>
    </w:p>
    <w:p w14:paraId="510AF439" w14:textId="77777777" w:rsidR="00D33BD0" w:rsidRDefault="00000000">
      <w:pPr>
        <w:spacing w:after="210" w:line="360" w:lineRule="auto"/>
      </w:pPr>
      <w:r>
        <w:rPr>
          <w:rFonts w:ascii="source serif 4" w:eastAsia="source serif 4" w:hAnsi="source serif 4" w:cs="source serif 4"/>
          <w:b/>
          <w:color w:val="000000"/>
        </w:rPr>
        <w:t>Demonstrated achievements:</w:t>
      </w:r>
    </w:p>
    <w:p w14:paraId="2C4808D9" w14:textId="77777777" w:rsidR="00D33BD0" w:rsidRDefault="00000000">
      <w:pPr>
        <w:numPr>
          <w:ilvl w:val="0"/>
          <w:numId w:val="2"/>
        </w:numPr>
        <w:spacing w:before="105" w:after="105" w:line="360" w:lineRule="auto"/>
      </w:pPr>
      <w:r>
        <w:rPr>
          <w:rFonts w:ascii="source serif 4" w:eastAsia="source serif 4" w:hAnsi="source serif 4" w:cs="source serif 4"/>
          <w:color w:val="000000"/>
        </w:rPr>
        <w:t>Average episode payments reduced in each of the first three performance years, primarily through reduced skilled nursing facility and inpatient rehabilitation facility utilization</w:t>
      </w:r>
    </w:p>
    <w:p w14:paraId="62883403" w14:textId="77777777" w:rsidR="00D33BD0" w:rsidRDefault="00000000">
      <w:pPr>
        <w:numPr>
          <w:ilvl w:val="0"/>
          <w:numId w:val="2"/>
        </w:numPr>
        <w:spacing w:before="105" w:after="105" w:line="360" w:lineRule="auto"/>
      </w:pPr>
      <w:r>
        <w:rPr>
          <w:rFonts w:ascii="source serif 4" w:eastAsia="source serif 4" w:hAnsi="source serif 4" w:cs="source serif 4"/>
          <w:color w:val="000000"/>
        </w:rPr>
        <w:t>Unplanned readmission rates and elective surgery complication rates improved at mandatory CJR hospitals relative to control hospitals</w:t>
      </w:r>
    </w:p>
    <w:p w14:paraId="1E40465C" w14:textId="77777777" w:rsidR="00D33BD0" w:rsidRDefault="00000000">
      <w:pPr>
        <w:numPr>
          <w:ilvl w:val="0"/>
          <w:numId w:val="2"/>
        </w:numPr>
        <w:spacing w:before="105" w:after="105" w:line="360" w:lineRule="auto"/>
      </w:pPr>
      <w:r>
        <w:rPr>
          <w:rFonts w:ascii="source serif 4" w:eastAsia="source serif 4" w:hAnsi="source serif 4" w:cs="source serif 4"/>
          <w:color w:val="000000"/>
        </w:rPr>
        <w:t>$61.6 million in net savings achieved (approximately 2% of spending versus baseline)</w:t>
      </w:r>
    </w:p>
    <w:p w14:paraId="22D80726" w14:textId="77777777" w:rsidR="00D33BD0" w:rsidRDefault="00000000">
      <w:pPr>
        <w:numPr>
          <w:ilvl w:val="0"/>
          <w:numId w:val="2"/>
        </w:numPr>
        <w:spacing w:before="105" w:after="105" w:line="360" w:lineRule="auto"/>
      </w:pPr>
      <w:r>
        <w:rPr>
          <w:rFonts w:ascii="source serif 4" w:eastAsia="source serif 4" w:hAnsi="source serif 4" w:cs="source serif 4"/>
          <w:color w:val="000000"/>
        </w:rPr>
        <w:t>At one academic tertiary care center: length of stay decreased from 3.48 to 1.52 days, home discharge rate increased from 70.2% to 85.5%, readmission rate decreased from 17.7% to 5.1%, and complication rate decreased from 6.5% to 2.0%</w:t>
      </w:r>
    </w:p>
    <w:p w14:paraId="5496FA78" w14:textId="77777777" w:rsidR="00D33BD0" w:rsidRDefault="00000000">
      <w:pPr>
        <w:spacing w:after="210" w:line="360" w:lineRule="auto"/>
      </w:pPr>
      <w:r>
        <w:rPr>
          <w:rFonts w:ascii="source serif 4" w:eastAsia="source serif 4" w:hAnsi="source serif 4" w:cs="source serif 4"/>
          <w:b/>
          <w:color w:val="000000"/>
        </w:rPr>
        <w:t>The structural constraint:</w:t>
      </w:r>
      <w:r>
        <w:rPr>
          <w:rFonts w:ascii="source serif 4" w:eastAsia="source serif 4" w:hAnsi="source serif 4" w:cs="source serif 4"/>
          <w:color w:val="000000"/>
        </w:rPr>
        <w:t xml:space="preserve"> CJR is triggered by inpatient admission for LEJR. By design, the accountable episode window begins when the patient arrives at the hospital for surgery. All of the physician decisions that precede that moment—whether the patient needed a joint replacement at all, whether conservative management (physical therapy, pain management, activity modification) was an adequate alternative, which surgeon to consult, which surgical approach to use, which implant to select—occur entirely outside the accountable window and are subject to no bundled payment discipline whatsoever.</w:t>
      </w:r>
    </w:p>
    <w:p w14:paraId="3F13BA3D" w14:textId="77777777" w:rsidR="00D33BD0" w:rsidRDefault="00000000">
      <w:pPr>
        <w:spacing w:after="210" w:line="360" w:lineRule="auto"/>
      </w:pPr>
      <w:r>
        <w:rPr>
          <w:rFonts w:ascii="source serif 4" w:eastAsia="source serif 4" w:hAnsi="source serif 4" w:cs="source serif 4"/>
          <w:color w:val="000000"/>
        </w:rPr>
        <w:t xml:space="preserve">The implant cost data are instructive in this regard. Within the same institution, average implant costs for total knee replacement range from $1,797 to $12,093—a 6.7-fold variation attributable to surgeon preference rather than patient need or clinical evidence of outcome differences. CJR's post-admission accountability creates some pressure to select less expensive implants, and some programs have achieved implant cost reductions without adverse clinical effect. But the deeper question—whether the patient </w:t>
      </w:r>
      <w:r>
        <w:rPr>
          <w:rFonts w:ascii="source serif 4" w:eastAsia="source serif 4" w:hAnsi="source serif 4" w:cs="source serif 4"/>
          <w:color w:val="000000"/>
        </w:rPr>
        <w:lastRenderedPageBreak/>
        <w:t>needed the replacement, and which surgical approach and pathway best fit their clinical circumstances—is entirely invisible to the CJR model.[^1]</w:t>
      </w:r>
    </w:p>
    <w:p w14:paraId="72DC9E88" w14:textId="77777777" w:rsidR="00D33BD0" w:rsidRDefault="00000000">
      <w:pPr>
        <w:spacing w:after="210" w:line="360" w:lineRule="auto"/>
      </w:pPr>
      <w:r>
        <w:rPr>
          <w:rFonts w:ascii="source serif 4" w:eastAsia="source serif 4" w:hAnsi="source serif 4" w:cs="source serif 4"/>
          <w:color w:val="000000"/>
        </w:rPr>
        <w:t xml:space="preserve">The same structural limitation applies to BPCI Advanced, which similarly triggers on inpatient admission. A </w:t>
      </w:r>
      <w:r>
        <w:rPr>
          <w:rFonts w:ascii="source serif 4" w:eastAsia="source serif 4" w:hAnsi="source serif 4" w:cs="source serif 4"/>
          <w:i/>
          <w:color w:val="000000"/>
        </w:rPr>
        <w:t>BMJ</w:t>
      </w:r>
      <w:r>
        <w:rPr>
          <w:rFonts w:ascii="source serif 4" w:eastAsia="source serif 4" w:hAnsi="source serif 4" w:cs="source serif 4"/>
          <w:color w:val="000000"/>
        </w:rPr>
        <w:t xml:space="preserve"> quasi-experimental study of BPCI participation found a 1.2% decrease in total episode spending, primarily through a 6.3% reduction in skilled nursing facility use, without deterioration in 90-day mortality. Real savings from real post-acute efficiency gains—but constrained to the post-admission window.[^2]</w:t>
      </w:r>
    </w:p>
    <w:p w14:paraId="14BAC896" w14:textId="77777777" w:rsidR="00D33BD0" w:rsidRDefault="00000000">
      <w:pPr>
        <w:spacing w:after="210" w:line="360" w:lineRule="auto"/>
      </w:pPr>
      <w:r>
        <w:rPr>
          <w:rFonts w:ascii="source serif 4" w:eastAsia="source serif 4" w:hAnsi="source serif 4" w:cs="source serif 4"/>
          <w:color w:val="000000"/>
        </w:rPr>
        <w:t>In April 2026, CMS proposed a nationwide expansion of CJR, reflecting confidence in the post-acute savings model. This expansion, if implemented as a post-admission program, will extend proven but bounded gains. The evidence reviewed here suggests the higher-leverage opportunity lies upstream.[^2]</w:t>
      </w:r>
    </w:p>
    <w:p w14:paraId="5CADDBA9" w14:textId="77777777" w:rsidR="00D33BD0" w:rsidRDefault="00000000">
      <w:pPr>
        <w:spacing w:before="315" w:after="105" w:line="360" w:lineRule="auto"/>
        <w:ind w:left="-30"/>
      </w:pPr>
      <w:bookmarkStart w:id="28" w:name="bm_7_3_bpci_advanced_broader_epis_6c99e6"/>
      <w:r>
        <w:rPr>
          <w:rFonts w:ascii="source serif 4" w:eastAsia="source serif 4" w:hAnsi="source serif 4" w:cs="source serif 4"/>
          <w:b/>
          <w:color w:val="000000"/>
          <w:sz w:val="24"/>
        </w:rPr>
        <w:t>7.3 BPCI Advanced: Broader Episode Types, Same Structural Constraint</w:t>
      </w:r>
      <w:bookmarkEnd w:id="28"/>
    </w:p>
    <w:p w14:paraId="14D0D2F1" w14:textId="77777777" w:rsidR="00D33BD0" w:rsidRDefault="00000000">
      <w:pPr>
        <w:spacing w:after="210" w:line="360" w:lineRule="auto"/>
      </w:pPr>
      <w:r>
        <w:rPr>
          <w:rFonts w:ascii="source serif 4" w:eastAsia="source serif 4" w:hAnsi="source serif 4" w:cs="source serif 4"/>
          <w:color w:val="000000"/>
        </w:rPr>
        <w:t>BPCI Advanced, launched October 1, 2018, extended bundled accountability to 34 clinical episode types including medical conditions and cardiovascular procedures. By December 2021, over 1.2 million Medicare beneficiaries had received care from BPCI Advanced participants, with over 1,800 acute care hospitals engaged in care redesign. The Fifth Annual Evaluation Report (2024) confirmed that hospital episode initiators reduced spending without reducing quality in the first two model years; physician group practices significantly reduced unplanned readmissions for surgical episodes.[^2]</w:t>
      </w:r>
    </w:p>
    <w:p w14:paraId="2A391449" w14:textId="77777777" w:rsidR="00D33BD0" w:rsidRDefault="00000000">
      <w:pPr>
        <w:spacing w:after="210" w:line="360" w:lineRule="auto"/>
      </w:pPr>
      <w:r>
        <w:rPr>
          <w:rFonts w:ascii="source serif 4" w:eastAsia="source serif 4" w:hAnsi="source serif 4" w:cs="source serif 4"/>
          <w:color w:val="000000"/>
        </w:rPr>
        <w:t>The pattern across BPCI Advanced clinical episode types mirrors the CJR finding: savings are concentrated in post-acute care reduction—SNF and IRF utilization—rather than in pre-admission decision-making. For the medical conditions included in BPCI Advanced (CHF, COPD, AMI, pneumonia), the opportunity to influence the treatment path—whether hospitalization was necessary, whether an emergency department visit could have been avoided through better outpatient management—is similarly upstream of the trigger point.[^2]</w:t>
      </w:r>
    </w:p>
    <w:p w14:paraId="6ACBF8DA" w14:textId="77777777" w:rsidR="00D33BD0" w:rsidRDefault="00000000">
      <w:pPr>
        <w:spacing w:before="315" w:after="105" w:line="360" w:lineRule="auto"/>
        <w:ind w:left="-30"/>
      </w:pPr>
      <w:bookmarkStart w:id="29" w:name="bm_7_4_accountable_care_organizat_d5c146"/>
      <w:r>
        <w:rPr>
          <w:rFonts w:ascii="source serif 4" w:eastAsia="source serif 4" w:hAnsi="source serif 4" w:cs="source serif 4"/>
          <w:b/>
          <w:color w:val="000000"/>
          <w:sz w:val="24"/>
        </w:rPr>
        <w:t>7.4 Accountable Care Organizations: Population-Level Evidence at Scale</w:t>
      </w:r>
      <w:bookmarkEnd w:id="29"/>
    </w:p>
    <w:p w14:paraId="2E16B636" w14:textId="77777777" w:rsidR="00D33BD0" w:rsidRDefault="00000000">
      <w:pPr>
        <w:spacing w:after="210" w:line="360" w:lineRule="auto"/>
      </w:pPr>
      <w:r>
        <w:rPr>
          <w:rFonts w:ascii="source serif 4" w:eastAsia="source serif 4" w:hAnsi="source serif 4" w:cs="source serif 4"/>
          <w:color w:val="000000"/>
        </w:rPr>
        <w:t>The Medicare Shared Savings Program (MSSP) provides the largest-scale evidence that coordinated care accountability can simultaneously reduce costs and maintain or improve quality. As of January 2024, 480 ACOs covered 10.8 million Medicare beneficiaries. CMS reported record net savings of $2.48 billion in 2024, with cumulative net savings of $13.6 billion since 2012:[^2]</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637"/>
        <w:gridCol w:w="708"/>
        <w:gridCol w:w="1265"/>
        <w:gridCol w:w="1480"/>
        <w:gridCol w:w="3480"/>
      </w:tblGrid>
      <w:tr w:rsidR="00D33BD0" w14:paraId="20EF24EE"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8590890" w14:textId="77777777" w:rsidR="00D33BD0" w:rsidRDefault="00000000">
            <w:pPr>
              <w:spacing w:line="360" w:lineRule="auto"/>
            </w:pPr>
            <w:r>
              <w:rPr>
                <w:rFonts w:ascii="source sans 3" w:eastAsia="source sans 3" w:hAnsi="source sans 3" w:cs="source sans 3"/>
                <w:color w:val="000000"/>
                <w:sz w:val="17"/>
              </w:rPr>
              <w:t>Performance Year</w:t>
            </w:r>
          </w:p>
        </w:tc>
        <w:tc>
          <w:tcPr>
            <w:tcW w:w="0" w:type="auto"/>
            <w:tcBorders>
              <w:top w:val="single" w:sz="1" w:space="0" w:color="000000"/>
              <w:bottom w:val="single" w:sz="1" w:space="0" w:color="000000"/>
              <w:right w:val="single" w:sz="1" w:space="0" w:color="000000"/>
            </w:tcBorders>
          </w:tcPr>
          <w:p w14:paraId="4AAA5913" w14:textId="77777777" w:rsidR="00D33BD0" w:rsidRDefault="00000000">
            <w:pPr>
              <w:spacing w:line="360" w:lineRule="auto"/>
            </w:pPr>
            <w:r>
              <w:rPr>
                <w:rFonts w:ascii="source sans 3" w:eastAsia="source sans 3" w:hAnsi="source sans 3" w:cs="source sans 3"/>
                <w:color w:val="000000"/>
                <w:sz w:val="17"/>
              </w:rPr>
              <w:t>ACOs</w:t>
            </w:r>
          </w:p>
        </w:tc>
        <w:tc>
          <w:tcPr>
            <w:tcW w:w="0" w:type="auto"/>
            <w:tcBorders>
              <w:top w:val="single" w:sz="1" w:space="0" w:color="000000"/>
              <w:bottom w:val="single" w:sz="1" w:space="0" w:color="000000"/>
              <w:right w:val="single" w:sz="1" w:space="0" w:color="000000"/>
            </w:tcBorders>
          </w:tcPr>
          <w:p w14:paraId="042802CD" w14:textId="77777777" w:rsidR="00D33BD0" w:rsidRDefault="00000000">
            <w:pPr>
              <w:spacing w:line="360" w:lineRule="auto"/>
            </w:pPr>
            <w:r>
              <w:rPr>
                <w:rFonts w:ascii="source sans 3" w:eastAsia="source sans 3" w:hAnsi="source sans 3" w:cs="source sans 3"/>
                <w:color w:val="000000"/>
                <w:sz w:val="17"/>
              </w:rPr>
              <w:t>Beneficiaries</w:t>
            </w:r>
          </w:p>
        </w:tc>
        <w:tc>
          <w:tcPr>
            <w:tcW w:w="0" w:type="auto"/>
            <w:tcBorders>
              <w:top w:val="single" w:sz="1" w:space="0" w:color="000000"/>
              <w:bottom w:val="single" w:sz="1" w:space="0" w:color="000000"/>
              <w:right w:val="single" w:sz="1" w:space="0" w:color="000000"/>
            </w:tcBorders>
          </w:tcPr>
          <w:p w14:paraId="0E001E3C" w14:textId="77777777" w:rsidR="00D33BD0" w:rsidRDefault="00000000">
            <w:pPr>
              <w:spacing w:line="360" w:lineRule="auto"/>
            </w:pPr>
            <w:r>
              <w:rPr>
                <w:rFonts w:ascii="source sans 3" w:eastAsia="source sans 3" w:hAnsi="source sans 3" w:cs="source sans 3"/>
                <w:color w:val="000000"/>
                <w:sz w:val="17"/>
              </w:rPr>
              <w:t>Net Savings</w:t>
            </w:r>
          </w:p>
        </w:tc>
        <w:tc>
          <w:tcPr>
            <w:tcW w:w="0" w:type="auto"/>
            <w:tcBorders>
              <w:top w:val="single" w:sz="1" w:space="0" w:color="000000"/>
              <w:bottom w:val="single" w:sz="1" w:space="0" w:color="000000"/>
            </w:tcBorders>
          </w:tcPr>
          <w:p w14:paraId="35949A45" w14:textId="77777777" w:rsidR="00D33BD0" w:rsidRDefault="00000000">
            <w:pPr>
              <w:spacing w:line="360" w:lineRule="auto"/>
            </w:pPr>
            <w:r>
              <w:rPr>
                <w:rFonts w:ascii="source sans 3" w:eastAsia="source sans 3" w:hAnsi="source sans 3" w:cs="source sans 3"/>
                <w:color w:val="000000"/>
                <w:sz w:val="17"/>
              </w:rPr>
              <w:t>Quality Performance</w:t>
            </w:r>
          </w:p>
        </w:tc>
      </w:tr>
      <w:tr w:rsidR="00D33BD0" w14:paraId="1B889EF7"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1688C77" w14:textId="77777777" w:rsidR="00D33BD0" w:rsidRDefault="00000000">
            <w:pPr>
              <w:spacing w:line="360" w:lineRule="auto"/>
            </w:pPr>
            <w:r>
              <w:rPr>
                <w:rFonts w:ascii="source sans 3" w:eastAsia="source sans 3" w:hAnsi="source sans 3" w:cs="source sans 3"/>
                <w:color w:val="000000"/>
                <w:sz w:val="17"/>
              </w:rPr>
              <w:t>2024</w:t>
            </w:r>
          </w:p>
        </w:tc>
        <w:tc>
          <w:tcPr>
            <w:tcW w:w="0" w:type="auto"/>
            <w:tcBorders>
              <w:top w:val="single" w:sz="1" w:space="0" w:color="000000"/>
              <w:bottom w:val="single" w:sz="1" w:space="0" w:color="000000"/>
              <w:right w:val="single" w:sz="1" w:space="0" w:color="000000"/>
            </w:tcBorders>
          </w:tcPr>
          <w:p w14:paraId="72E16813" w14:textId="77777777" w:rsidR="00D33BD0" w:rsidRDefault="00000000">
            <w:pPr>
              <w:spacing w:line="360" w:lineRule="auto"/>
            </w:pPr>
            <w:r>
              <w:rPr>
                <w:rFonts w:ascii="source sans 3" w:eastAsia="source sans 3" w:hAnsi="source sans 3" w:cs="source sans 3"/>
                <w:color w:val="000000"/>
                <w:sz w:val="17"/>
              </w:rPr>
              <w:t>480</w:t>
            </w:r>
          </w:p>
        </w:tc>
        <w:tc>
          <w:tcPr>
            <w:tcW w:w="0" w:type="auto"/>
            <w:tcBorders>
              <w:top w:val="single" w:sz="1" w:space="0" w:color="000000"/>
              <w:bottom w:val="single" w:sz="1" w:space="0" w:color="000000"/>
              <w:right w:val="single" w:sz="1" w:space="0" w:color="000000"/>
            </w:tcBorders>
          </w:tcPr>
          <w:p w14:paraId="4C629F9B" w14:textId="77777777" w:rsidR="00D33BD0" w:rsidRDefault="00000000">
            <w:pPr>
              <w:spacing w:line="360" w:lineRule="auto"/>
            </w:pPr>
            <w:r>
              <w:rPr>
                <w:rFonts w:ascii="source sans 3" w:eastAsia="source sans 3" w:hAnsi="source sans 3" w:cs="source sans 3"/>
                <w:color w:val="000000"/>
                <w:sz w:val="17"/>
              </w:rPr>
              <w:t>10.8M</w:t>
            </w:r>
          </w:p>
        </w:tc>
        <w:tc>
          <w:tcPr>
            <w:tcW w:w="0" w:type="auto"/>
            <w:tcBorders>
              <w:top w:val="single" w:sz="1" w:space="0" w:color="000000"/>
              <w:bottom w:val="single" w:sz="1" w:space="0" w:color="000000"/>
              <w:right w:val="single" w:sz="1" w:space="0" w:color="000000"/>
            </w:tcBorders>
          </w:tcPr>
          <w:p w14:paraId="7E91DD23" w14:textId="77777777" w:rsidR="00D33BD0" w:rsidRDefault="00000000">
            <w:pPr>
              <w:spacing w:line="360" w:lineRule="auto"/>
            </w:pPr>
            <w:r>
              <w:rPr>
                <w:rFonts w:ascii="source sans 3" w:eastAsia="source sans 3" w:hAnsi="source sans 3" w:cs="source sans 3"/>
                <w:color w:val="000000"/>
                <w:sz w:val="17"/>
              </w:rPr>
              <w:t>$2.48B (record)</w:t>
            </w:r>
          </w:p>
        </w:tc>
        <w:tc>
          <w:tcPr>
            <w:tcW w:w="0" w:type="auto"/>
            <w:tcBorders>
              <w:top w:val="single" w:sz="1" w:space="0" w:color="000000"/>
              <w:bottom w:val="single" w:sz="1" w:space="0" w:color="000000"/>
            </w:tcBorders>
          </w:tcPr>
          <w:p w14:paraId="3CDD9422" w14:textId="77777777" w:rsidR="00D33BD0" w:rsidRDefault="00000000">
            <w:pPr>
              <w:spacing w:line="360" w:lineRule="auto"/>
            </w:pPr>
            <w:r>
              <w:rPr>
                <w:rFonts w:ascii="source sans 3" w:eastAsia="source sans 3" w:hAnsi="source sans 3" w:cs="source sans 3"/>
                <w:color w:val="000000"/>
                <w:sz w:val="17"/>
              </w:rPr>
              <w:t>Near-universal quality standard attainment</w:t>
            </w:r>
          </w:p>
        </w:tc>
      </w:tr>
      <w:tr w:rsidR="00D33BD0" w14:paraId="1888F327"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3472F90" w14:textId="77777777" w:rsidR="00D33BD0" w:rsidRDefault="00000000">
            <w:pPr>
              <w:spacing w:line="360" w:lineRule="auto"/>
            </w:pPr>
            <w:r>
              <w:rPr>
                <w:rFonts w:ascii="source sans 3" w:eastAsia="source sans 3" w:hAnsi="source sans 3" w:cs="source sans 3"/>
                <w:color w:val="000000"/>
                <w:sz w:val="17"/>
              </w:rPr>
              <w:lastRenderedPageBreak/>
              <w:t>2023</w:t>
            </w:r>
          </w:p>
        </w:tc>
        <w:tc>
          <w:tcPr>
            <w:tcW w:w="0" w:type="auto"/>
            <w:tcBorders>
              <w:top w:val="single" w:sz="1" w:space="0" w:color="000000"/>
              <w:bottom w:val="single" w:sz="1" w:space="0" w:color="000000"/>
              <w:right w:val="single" w:sz="1" w:space="0" w:color="000000"/>
            </w:tcBorders>
          </w:tcPr>
          <w:p w14:paraId="3CF88C3E" w14:textId="77777777" w:rsidR="00D33BD0" w:rsidRDefault="00000000">
            <w:pPr>
              <w:spacing w:line="360" w:lineRule="auto"/>
            </w:pPr>
            <w:r>
              <w:rPr>
                <w:rFonts w:ascii="source sans 3" w:eastAsia="source sans 3" w:hAnsi="source sans 3" w:cs="source sans 3"/>
                <w:color w:val="000000"/>
                <w:sz w:val="17"/>
              </w:rPr>
              <w:t>456</w:t>
            </w:r>
          </w:p>
        </w:tc>
        <w:tc>
          <w:tcPr>
            <w:tcW w:w="0" w:type="auto"/>
            <w:tcBorders>
              <w:top w:val="single" w:sz="1" w:space="0" w:color="000000"/>
              <w:bottom w:val="single" w:sz="1" w:space="0" w:color="000000"/>
              <w:right w:val="single" w:sz="1" w:space="0" w:color="000000"/>
            </w:tcBorders>
          </w:tcPr>
          <w:p w14:paraId="2628F3B4" w14:textId="77777777" w:rsidR="00D33BD0" w:rsidRDefault="00000000">
            <w:pPr>
              <w:spacing w:line="360" w:lineRule="auto"/>
            </w:pPr>
            <w:r>
              <w:rPr>
                <w:rFonts w:ascii="source sans 3" w:eastAsia="source sans 3" w:hAnsi="source sans 3" w:cs="source sans 3"/>
                <w:color w:val="000000"/>
                <w:sz w:val="17"/>
              </w:rPr>
              <w:t>10.9M</w:t>
            </w:r>
          </w:p>
        </w:tc>
        <w:tc>
          <w:tcPr>
            <w:tcW w:w="0" w:type="auto"/>
            <w:tcBorders>
              <w:top w:val="single" w:sz="1" w:space="0" w:color="000000"/>
              <w:bottom w:val="single" w:sz="1" w:space="0" w:color="000000"/>
              <w:right w:val="single" w:sz="1" w:space="0" w:color="000000"/>
            </w:tcBorders>
          </w:tcPr>
          <w:p w14:paraId="0C19F751" w14:textId="77777777" w:rsidR="00D33BD0" w:rsidRDefault="00000000">
            <w:pPr>
              <w:spacing w:line="360" w:lineRule="auto"/>
            </w:pPr>
            <w:r>
              <w:rPr>
                <w:rFonts w:ascii="source sans 3" w:eastAsia="source sans 3" w:hAnsi="source sans 3" w:cs="source sans 3"/>
                <w:color w:val="000000"/>
                <w:sz w:val="17"/>
              </w:rPr>
              <w:t>$2.1B</w:t>
            </w:r>
          </w:p>
        </w:tc>
        <w:tc>
          <w:tcPr>
            <w:tcW w:w="0" w:type="auto"/>
            <w:tcBorders>
              <w:top w:val="single" w:sz="1" w:space="0" w:color="000000"/>
              <w:bottom w:val="single" w:sz="1" w:space="0" w:color="000000"/>
            </w:tcBorders>
          </w:tcPr>
          <w:p w14:paraId="5B31975F" w14:textId="77777777" w:rsidR="00D33BD0" w:rsidRDefault="00000000">
            <w:pPr>
              <w:spacing w:line="360" w:lineRule="auto"/>
            </w:pPr>
            <w:r>
              <w:rPr>
                <w:rFonts w:ascii="source sans 3" w:eastAsia="source sans 3" w:hAnsi="source sans 3" w:cs="source sans 3"/>
                <w:color w:val="000000"/>
                <w:sz w:val="17"/>
              </w:rPr>
              <w:t>—</w:t>
            </w:r>
          </w:p>
        </w:tc>
      </w:tr>
      <w:tr w:rsidR="00D33BD0" w14:paraId="7AFFBDBD"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8E4D843" w14:textId="77777777" w:rsidR="00D33BD0" w:rsidRDefault="00000000">
            <w:pPr>
              <w:spacing w:line="360" w:lineRule="auto"/>
            </w:pPr>
            <w:r>
              <w:rPr>
                <w:rFonts w:ascii="source sans 3" w:eastAsia="source sans 3" w:hAnsi="source sans 3" w:cs="source sans 3"/>
                <w:color w:val="000000"/>
                <w:sz w:val="17"/>
              </w:rPr>
              <w:t>2022</w:t>
            </w:r>
          </w:p>
        </w:tc>
        <w:tc>
          <w:tcPr>
            <w:tcW w:w="0" w:type="auto"/>
            <w:tcBorders>
              <w:top w:val="single" w:sz="1" w:space="0" w:color="000000"/>
              <w:bottom w:val="single" w:sz="1" w:space="0" w:color="000000"/>
              <w:right w:val="single" w:sz="1" w:space="0" w:color="000000"/>
            </w:tcBorders>
          </w:tcPr>
          <w:p w14:paraId="5E496BEA" w14:textId="77777777" w:rsidR="00D33BD0" w:rsidRDefault="00000000">
            <w:pPr>
              <w:spacing w:line="360" w:lineRule="auto"/>
            </w:pPr>
            <w:r>
              <w:rPr>
                <w:rFonts w:ascii="source sans 3" w:eastAsia="source sans 3" w:hAnsi="source sans 3" w:cs="source sans 3"/>
                <w:color w:val="000000"/>
                <w:sz w:val="17"/>
              </w:rPr>
              <w:t>483</w:t>
            </w:r>
          </w:p>
        </w:tc>
        <w:tc>
          <w:tcPr>
            <w:tcW w:w="0" w:type="auto"/>
            <w:tcBorders>
              <w:top w:val="single" w:sz="1" w:space="0" w:color="000000"/>
              <w:bottom w:val="single" w:sz="1" w:space="0" w:color="000000"/>
              <w:right w:val="single" w:sz="1" w:space="0" w:color="000000"/>
            </w:tcBorders>
          </w:tcPr>
          <w:p w14:paraId="41BDC739" w14:textId="77777777" w:rsidR="00D33BD0" w:rsidRDefault="00000000">
            <w:pPr>
              <w:spacing w:line="360" w:lineRule="auto"/>
            </w:pPr>
            <w:r>
              <w:rPr>
                <w:rFonts w:ascii="source sans 3" w:eastAsia="source sans 3" w:hAnsi="source sans 3" w:cs="source sans 3"/>
                <w:color w:val="000000"/>
                <w:sz w:val="17"/>
              </w:rPr>
              <w:t>11.0M</w:t>
            </w:r>
          </w:p>
        </w:tc>
        <w:tc>
          <w:tcPr>
            <w:tcW w:w="0" w:type="auto"/>
            <w:tcBorders>
              <w:top w:val="single" w:sz="1" w:space="0" w:color="000000"/>
              <w:bottom w:val="single" w:sz="1" w:space="0" w:color="000000"/>
              <w:right w:val="single" w:sz="1" w:space="0" w:color="000000"/>
            </w:tcBorders>
          </w:tcPr>
          <w:p w14:paraId="2890C008" w14:textId="77777777" w:rsidR="00D33BD0" w:rsidRDefault="00000000">
            <w:pPr>
              <w:spacing w:line="360" w:lineRule="auto"/>
            </w:pPr>
            <w:r>
              <w:rPr>
                <w:rFonts w:ascii="source sans 3" w:eastAsia="source sans 3" w:hAnsi="source sans 3" w:cs="source sans 3"/>
                <w:color w:val="000000"/>
                <w:sz w:val="17"/>
              </w:rPr>
              <w:t>$2.5B</w:t>
            </w:r>
          </w:p>
        </w:tc>
        <w:tc>
          <w:tcPr>
            <w:tcW w:w="0" w:type="auto"/>
            <w:tcBorders>
              <w:top w:val="single" w:sz="1" w:space="0" w:color="000000"/>
              <w:bottom w:val="single" w:sz="1" w:space="0" w:color="000000"/>
            </w:tcBorders>
          </w:tcPr>
          <w:p w14:paraId="5423C314" w14:textId="77777777" w:rsidR="00D33BD0" w:rsidRDefault="00000000">
            <w:pPr>
              <w:spacing w:line="360" w:lineRule="auto"/>
            </w:pPr>
            <w:r>
              <w:rPr>
                <w:rFonts w:ascii="source sans 3" w:eastAsia="source sans 3" w:hAnsi="source sans 3" w:cs="source sans 3"/>
                <w:color w:val="000000"/>
                <w:sz w:val="17"/>
              </w:rPr>
              <w:t>81% quality threshold met</w:t>
            </w:r>
          </w:p>
        </w:tc>
      </w:tr>
      <w:tr w:rsidR="00D33BD0" w14:paraId="70A8C6FE"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01EF5F2" w14:textId="77777777" w:rsidR="00D33BD0" w:rsidRDefault="00000000">
            <w:pPr>
              <w:spacing w:line="360" w:lineRule="auto"/>
            </w:pPr>
            <w:r>
              <w:rPr>
                <w:rFonts w:ascii="source sans 3" w:eastAsia="source sans 3" w:hAnsi="source sans 3" w:cs="source sans 3"/>
                <w:color w:val="000000"/>
                <w:sz w:val="17"/>
              </w:rPr>
              <w:t>2021</w:t>
            </w:r>
          </w:p>
        </w:tc>
        <w:tc>
          <w:tcPr>
            <w:tcW w:w="0" w:type="auto"/>
            <w:tcBorders>
              <w:top w:val="single" w:sz="1" w:space="0" w:color="000000"/>
              <w:bottom w:val="single" w:sz="1" w:space="0" w:color="000000"/>
              <w:right w:val="single" w:sz="1" w:space="0" w:color="000000"/>
            </w:tcBorders>
          </w:tcPr>
          <w:p w14:paraId="7ECE092C" w14:textId="77777777" w:rsidR="00D33BD0" w:rsidRDefault="00000000">
            <w:pPr>
              <w:spacing w:line="360" w:lineRule="auto"/>
            </w:pPr>
            <w:r>
              <w:rPr>
                <w:rFonts w:ascii="source sans 3" w:eastAsia="source sans 3" w:hAnsi="source sans 3" w:cs="source sans 3"/>
                <w:color w:val="000000"/>
                <w:sz w:val="17"/>
              </w:rPr>
              <w:t>477</w:t>
            </w:r>
          </w:p>
        </w:tc>
        <w:tc>
          <w:tcPr>
            <w:tcW w:w="0" w:type="auto"/>
            <w:tcBorders>
              <w:top w:val="single" w:sz="1" w:space="0" w:color="000000"/>
              <w:bottom w:val="single" w:sz="1" w:space="0" w:color="000000"/>
              <w:right w:val="single" w:sz="1" w:space="0" w:color="000000"/>
            </w:tcBorders>
          </w:tcPr>
          <w:p w14:paraId="4142C908" w14:textId="77777777" w:rsidR="00D33BD0" w:rsidRDefault="00000000">
            <w:pPr>
              <w:spacing w:line="360" w:lineRule="auto"/>
            </w:pPr>
            <w:r>
              <w:rPr>
                <w:rFonts w:ascii="source sans 3" w:eastAsia="source sans 3" w:hAnsi="source sans 3" w:cs="source sans 3"/>
                <w:color w:val="000000"/>
                <w:sz w:val="17"/>
              </w:rPr>
              <w:t>10.7M</w:t>
            </w:r>
          </w:p>
        </w:tc>
        <w:tc>
          <w:tcPr>
            <w:tcW w:w="0" w:type="auto"/>
            <w:tcBorders>
              <w:top w:val="single" w:sz="1" w:space="0" w:color="000000"/>
              <w:bottom w:val="single" w:sz="1" w:space="0" w:color="000000"/>
              <w:right w:val="single" w:sz="1" w:space="0" w:color="000000"/>
            </w:tcBorders>
          </w:tcPr>
          <w:p w14:paraId="3A270EE6" w14:textId="77777777" w:rsidR="00D33BD0" w:rsidRDefault="00000000">
            <w:pPr>
              <w:spacing w:line="360" w:lineRule="auto"/>
            </w:pPr>
            <w:r>
              <w:rPr>
                <w:rFonts w:ascii="source sans 3" w:eastAsia="source sans 3" w:hAnsi="source sans 3" w:cs="source sans 3"/>
                <w:color w:val="000000"/>
                <w:sz w:val="17"/>
              </w:rPr>
              <w:t>$2.0B</w:t>
            </w:r>
          </w:p>
        </w:tc>
        <w:tc>
          <w:tcPr>
            <w:tcW w:w="0" w:type="auto"/>
            <w:tcBorders>
              <w:top w:val="single" w:sz="1" w:space="0" w:color="000000"/>
              <w:bottom w:val="single" w:sz="1" w:space="0" w:color="000000"/>
            </w:tcBorders>
          </w:tcPr>
          <w:p w14:paraId="077362FA" w14:textId="77777777" w:rsidR="00D33BD0" w:rsidRDefault="00000000">
            <w:pPr>
              <w:spacing w:line="360" w:lineRule="auto"/>
            </w:pPr>
            <w:r>
              <w:rPr>
                <w:rFonts w:ascii="source sans 3" w:eastAsia="source sans 3" w:hAnsi="source sans 3" w:cs="source sans 3"/>
                <w:color w:val="000000"/>
                <w:sz w:val="17"/>
              </w:rPr>
              <w:t>91% threshold met</w:t>
            </w:r>
          </w:p>
        </w:tc>
      </w:tr>
      <w:tr w:rsidR="00D33BD0" w14:paraId="2632F93B"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5E6E4A1" w14:textId="77777777" w:rsidR="00D33BD0" w:rsidRDefault="00000000">
            <w:pPr>
              <w:spacing w:line="360" w:lineRule="auto"/>
            </w:pPr>
            <w:r>
              <w:rPr>
                <w:rFonts w:ascii="source sans 3" w:eastAsia="source sans 3" w:hAnsi="source sans 3" w:cs="source sans 3"/>
                <w:color w:val="000000"/>
                <w:sz w:val="17"/>
              </w:rPr>
              <w:t>2019</w:t>
            </w:r>
          </w:p>
        </w:tc>
        <w:tc>
          <w:tcPr>
            <w:tcW w:w="0" w:type="auto"/>
            <w:tcBorders>
              <w:top w:val="single" w:sz="1" w:space="0" w:color="000000"/>
              <w:bottom w:val="single" w:sz="1" w:space="0" w:color="000000"/>
              <w:right w:val="single" w:sz="1" w:space="0" w:color="000000"/>
            </w:tcBorders>
          </w:tcPr>
          <w:p w14:paraId="55DDAC9C" w14:textId="77777777" w:rsidR="00D33BD0" w:rsidRDefault="00000000">
            <w:pPr>
              <w:spacing w:line="360" w:lineRule="auto"/>
            </w:pPr>
            <w:r>
              <w:rPr>
                <w:rFonts w:ascii="source sans 3" w:eastAsia="source sans 3" w:hAnsi="source sans 3" w:cs="source sans 3"/>
                <w:color w:val="000000"/>
                <w:sz w:val="17"/>
              </w:rPr>
              <w:t>487</w:t>
            </w:r>
          </w:p>
        </w:tc>
        <w:tc>
          <w:tcPr>
            <w:tcW w:w="0" w:type="auto"/>
            <w:tcBorders>
              <w:top w:val="single" w:sz="1" w:space="0" w:color="000000"/>
              <w:bottom w:val="single" w:sz="1" w:space="0" w:color="000000"/>
              <w:right w:val="single" w:sz="1" w:space="0" w:color="000000"/>
            </w:tcBorders>
          </w:tcPr>
          <w:p w14:paraId="3433B863" w14:textId="77777777" w:rsidR="00D33BD0" w:rsidRDefault="00000000">
            <w:pPr>
              <w:spacing w:line="360" w:lineRule="auto"/>
            </w:pPr>
            <w:r>
              <w:rPr>
                <w:rFonts w:ascii="source sans 3" w:eastAsia="source sans 3" w:hAnsi="source sans 3" w:cs="source sans 3"/>
                <w:color w:val="000000"/>
                <w:sz w:val="17"/>
              </w:rPr>
              <w:t>10.4M</w:t>
            </w:r>
          </w:p>
        </w:tc>
        <w:tc>
          <w:tcPr>
            <w:tcW w:w="0" w:type="auto"/>
            <w:tcBorders>
              <w:top w:val="single" w:sz="1" w:space="0" w:color="000000"/>
              <w:bottom w:val="single" w:sz="1" w:space="0" w:color="000000"/>
              <w:right w:val="single" w:sz="1" w:space="0" w:color="000000"/>
            </w:tcBorders>
          </w:tcPr>
          <w:p w14:paraId="3F356E07" w14:textId="77777777" w:rsidR="00D33BD0" w:rsidRDefault="00000000">
            <w:pPr>
              <w:spacing w:line="360" w:lineRule="auto"/>
            </w:pPr>
            <w:r>
              <w:rPr>
                <w:rFonts w:ascii="source sans 3" w:eastAsia="source sans 3" w:hAnsi="source sans 3" w:cs="source sans 3"/>
                <w:color w:val="000000"/>
                <w:sz w:val="17"/>
              </w:rPr>
              <w:t>$1.5B</w:t>
            </w:r>
          </w:p>
        </w:tc>
        <w:tc>
          <w:tcPr>
            <w:tcW w:w="0" w:type="auto"/>
            <w:tcBorders>
              <w:top w:val="single" w:sz="1" w:space="0" w:color="000000"/>
              <w:bottom w:val="single" w:sz="1" w:space="0" w:color="000000"/>
            </w:tcBorders>
          </w:tcPr>
          <w:p w14:paraId="7FCAE7FE" w14:textId="77777777" w:rsidR="00D33BD0" w:rsidRDefault="00000000">
            <w:pPr>
              <w:spacing w:line="360" w:lineRule="auto"/>
            </w:pPr>
            <w:r>
              <w:rPr>
                <w:rFonts w:ascii="source sans 3" w:eastAsia="source sans 3" w:hAnsi="source sans 3" w:cs="source sans 3"/>
                <w:color w:val="000000"/>
                <w:sz w:val="17"/>
              </w:rPr>
              <w:t>92% threshold met</w:t>
            </w:r>
          </w:p>
        </w:tc>
      </w:tr>
    </w:tbl>
    <w:p w14:paraId="0C900CF3" w14:textId="77777777" w:rsidR="00D33BD0" w:rsidRDefault="00D33BD0"/>
    <w:p w14:paraId="0D4D88D1" w14:textId="77777777" w:rsidR="00D33BD0" w:rsidRDefault="00000000">
      <w:pPr>
        <w:spacing w:after="210" w:line="360" w:lineRule="auto"/>
      </w:pPr>
      <w:r>
        <w:rPr>
          <w:rFonts w:ascii="source serif 4" w:eastAsia="source serif 4" w:hAnsi="source serif 4" w:cs="source serif 4"/>
          <w:i/>
          <w:color w:val="000000"/>
        </w:rPr>
        <w:t>Source: CMS Medicare Shared Savings Program Fast Facts, 2024.</w:t>
      </w:r>
      <w:r>
        <w:rPr>
          <w:rFonts w:ascii="source serif 4" w:eastAsia="source serif 4" w:hAnsi="source serif 4" w:cs="source serif 4"/>
          <w:color w:val="000000"/>
        </w:rPr>
        <w:t>[^2]</w:t>
      </w:r>
    </w:p>
    <w:p w14:paraId="728678CA" w14:textId="77777777" w:rsidR="00D33BD0" w:rsidRDefault="00000000">
      <w:pPr>
        <w:spacing w:after="210" w:line="360" w:lineRule="auto"/>
      </w:pPr>
      <w:r>
        <w:rPr>
          <w:rFonts w:ascii="source serif 4" w:eastAsia="source serif 4" w:hAnsi="source serif 4" w:cs="source serif 4"/>
          <w:color w:val="000000"/>
        </w:rPr>
        <w:t>Physician-led ACOs consistently outperform hospital-led ACOs in per-capita savings, consistent with the Baicker-Chandra evidence that primary care investment—not specialist-driven intensity—drives efficiency and quality gains simultaneously.[^2]</w:t>
      </w:r>
    </w:p>
    <w:p w14:paraId="2BD4C66F" w14:textId="77777777" w:rsidR="00D33BD0" w:rsidRDefault="00000000">
      <w:pPr>
        <w:spacing w:after="210" w:line="360" w:lineRule="auto"/>
      </w:pPr>
      <w:r>
        <w:rPr>
          <w:rFonts w:ascii="source serif 4" w:eastAsia="source serif 4" w:hAnsi="source serif 4" w:cs="source serif 4"/>
          <w:color w:val="000000"/>
        </w:rPr>
        <w:t>The ACO model demonstrates population-level accountable care works. Its limitation relative to episode models is the inverse of episode models' limitation: ACOs capture longitudinal care management but lack the episode-specific financial accountability and measurement precision that incentivizes changes in specific high-cost clinical decisions.</w:t>
      </w:r>
    </w:p>
    <w:p w14:paraId="1CCD5D21" w14:textId="77777777" w:rsidR="00D33BD0" w:rsidRDefault="00000000">
      <w:pPr>
        <w:spacing w:before="315" w:after="105" w:line="360" w:lineRule="auto"/>
        <w:ind w:left="-30"/>
      </w:pPr>
      <w:bookmarkStart w:id="30" w:name="bm_7_5_summary_what_has_been_demo_c66bb4"/>
      <w:r>
        <w:rPr>
          <w:rFonts w:ascii="source serif 4" w:eastAsia="source serif 4" w:hAnsi="source serif 4" w:cs="source serif 4"/>
          <w:b/>
          <w:color w:val="000000"/>
          <w:sz w:val="24"/>
        </w:rPr>
        <w:t>7.5 Summary: What Has Been Demonstrated and What Remains Uncaptured</w:t>
      </w:r>
      <w:bookmarkEnd w:id="30"/>
    </w:p>
    <w:p w14:paraId="0D7A7570" w14:textId="77777777" w:rsidR="00D33BD0" w:rsidRDefault="00000000">
      <w:pPr>
        <w:spacing w:after="210" w:line="360" w:lineRule="auto"/>
      </w:pPr>
      <w:r>
        <w:rPr>
          <w:rFonts w:ascii="source serif 4" w:eastAsia="source serif 4" w:hAnsi="source serif 4" w:cs="source serif 4"/>
          <w:color w:val="000000"/>
        </w:rPr>
        <w:t>Across CJR, BPCI Advanced, and the MSSP, a consistent pattern emerges:</w:t>
      </w:r>
    </w:p>
    <w:p w14:paraId="2DF7F0E0" w14:textId="77777777" w:rsidR="00D33BD0" w:rsidRDefault="00000000">
      <w:pPr>
        <w:numPr>
          <w:ilvl w:val="0"/>
          <w:numId w:val="3"/>
        </w:numPr>
        <w:spacing w:before="105" w:after="105" w:line="360" w:lineRule="auto"/>
      </w:pPr>
      <w:r>
        <w:rPr>
          <w:rFonts w:ascii="source serif 4" w:eastAsia="source serif 4" w:hAnsi="source serif 4" w:cs="source serif 4"/>
          <w:color w:val="000000"/>
        </w:rPr>
        <w:t>Episode-based and population-based accountability models can reduce costs by 2–8% while maintaining or improving quality</w:t>
      </w:r>
    </w:p>
    <w:p w14:paraId="1BE09B24" w14:textId="77777777" w:rsidR="00D33BD0" w:rsidRDefault="00000000">
      <w:pPr>
        <w:numPr>
          <w:ilvl w:val="0"/>
          <w:numId w:val="3"/>
        </w:numPr>
        <w:spacing w:before="105" w:after="105" w:line="360" w:lineRule="auto"/>
      </w:pPr>
      <w:r>
        <w:rPr>
          <w:rFonts w:ascii="source serif 4" w:eastAsia="source serif 4" w:hAnsi="source serif 4" w:cs="source serif 4"/>
          <w:color w:val="000000"/>
        </w:rPr>
        <w:t>Savings are concentrated in post-acute care efficiency gains and reduced low-value utilization after the admission event</w:t>
      </w:r>
    </w:p>
    <w:p w14:paraId="12AC7EC9" w14:textId="77777777" w:rsidR="00D33BD0" w:rsidRDefault="00000000">
      <w:pPr>
        <w:numPr>
          <w:ilvl w:val="0"/>
          <w:numId w:val="3"/>
        </w:numPr>
        <w:spacing w:before="105" w:after="105" w:line="360" w:lineRule="auto"/>
      </w:pPr>
      <w:r>
        <w:rPr>
          <w:rFonts w:ascii="source serif 4" w:eastAsia="source serif 4" w:hAnsi="source serif 4" w:cs="source serif 4"/>
          <w:color w:val="000000"/>
        </w:rPr>
        <w:t>The physician decisions that represent the largest source of episode cost variance—diagnostic path, treatment modality selection, implant or drug choice, surgical approach—are upstream of the admission trigger and largely unaccountable</w:t>
      </w:r>
    </w:p>
    <w:p w14:paraId="7E889C2A" w14:textId="77777777" w:rsidR="00D33BD0" w:rsidRDefault="00000000">
      <w:pPr>
        <w:numPr>
          <w:ilvl w:val="0"/>
          <w:numId w:val="3"/>
        </w:numPr>
        <w:spacing w:before="105" w:after="105" w:line="360" w:lineRule="auto"/>
      </w:pPr>
      <w:r>
        <w:rPr>
          <w:rFonts w:ascii="source serif 4" w:eastAsia="source serif 4" w:hAnsi="source serif 4" w:cs="source serif 4"/>
          <w:color w:val="000000"/>
        </w:rPr>
        <w:t>The structure of cost variance evidence from the Oxbridge commercial data suggests that these upstream decisions account for the majority of the efficiency gap between low- and high-cost providers</w:t>
      </w:r>
    </w:p>
    <w:p w14:paraId="59DBEB78" w14:textId="77777777" w:rsidR="00D33BD0" w:rsidRDefault="00000000">
      <w:pPr>
        <w:spacing w:after="210" w:line="360" w:lineRule="auto"/>
      </w:pPr>
      <w:r>
        <w:rPr>
          <w:rFonts w:ascii="source serif 4" w:eastAsia="source serif 4" w:hAnsi="source serif 4" w:cs="source serif 4"/>
          <w:color w:val="000000"/>
        </w:rPr>
        <w:t>The logical inference is that comprehensive episode definitions beginning at diagnosis—rather than at inpatient admission—would capture a substantially larger share of the achievable savings.</w:t>
      </w:r>
    </w:p>
    <w:p w14:paraId="64E5504E" w14:textId="77777777" w:rsidR="00D33BD0" w:rsidRDefault="008335B1">
      <w:pPr>
        <w:spacing w:before="210" w:after="0" w:line="360" w:lineRule="auto"/>
      </w:pPr>
      <w:r>
        <w:rPr>
          <w:noProof/>
        </w:rPr>
      </w:r>
      <w:r>
        <w:rPr>
          <w:noProof/>
        </w:rPr>
        <w:pict w14:anchorId="46DD9A85">
          <v:rect id="_x0000_s1033"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4C46A7E3" w14:textId="77777777" w:rsidR="00D33BD0" w:rsidRDefault="00000000">
      <w:pPr>
        <w:spacing w:before="315" w:after="105" w:line="360" w:lineRule="auto"/>
        <w:ind w:left="-30"/>
      </w:pPr>
      <w:bookmarkStart w:id="31" w:name="bm_8_the_expanded_episode_from_ad_4c1fd2"/>
      <w:r>
        <w:rPr>
          <w:rFonts w:ascii="source serif 4" w:eastAsia="source serif 4" w:hAnsi="source serif 4" w:cs="source serif 4"/>
          <w:b/>
          <w:color w:val="000000"/>
          <w:sz w:val="24"/>
        </w:rPr>
        <w:t>8. The Expanded Episode: From Admission Trigger to Diagnosis Trigger</w:t>
      </w:r>
      <w:bookmarkEnd w:id="31"/>
    </w:p>
    <w:p w14:paraId="4DA38A5A" w14:textId="77777777" w:rsidR="00D33BD0" w:rsidRDefault="00000000">
      <w:pPr>
        <w:spacing w:before="315" w:after="105" w:line="360" w:lineRule="auto"/>
        <w:ind w:left="-30"/>
      </w:pPr>
      <w:bookmarkStart w:id="32" w:name="bm_8_1_the_admission_trigger_as_a_69e399"/>
      <w:r>
        <w:rPr>
          <w:rFonts w:ascii="source serif 4" w:eastAsia="source serif 4" w:hAnsi="source serif 4" w:cs="source serif 4"/>
          <w:b/>
          <w:color w:val="000000"/>
          <w:sz w:val="24"/>
        </w:rPr>
        <w:lastRenderedPageBreak/>
        <w:t>8.1 The Admission Trigger as an Arbitrary Boundary</w:t>
      </w:r>
      <w:bookmarkEnd w:id="32"/>
    </w:p>
    <w:p w14:paraId="15FF8533" w14:textId="77777777" w:rsidR="00D33BD0" w:rsidRDefault="00000000">
      <w:pPr>
        <w:spacing w:after="210" w:line="360" w:lineRule="auto"/>
      </w:pPr>
      <w:r>
        <w:rPr>
          <w:rFonts w:ascii="source serif 4" w:eastAsia="source serif 4" w:hAnsi="source serif 4" w:cs="source serif 4"/>
          <w:color w:val="000000"/>
        </w:rPr>
        <w:t>The decision to trigger episode accountability at inpatient admission was pragmatic, not principled. The hospitalization event is administratively clean—a discrete, easily identified trigger—and the post-acute care period offers meaningful opportunity for efficiency gains. But it creates a fundamental misalignment between the accountable window and the window in which cost-determining decisions are made.[^1]</w:t>
      </w:r>
    </w:p>
    <w:p w14:paraId="06A5BB97" w14:textId="77777777" w:rsidR="00D33BD0" w:rsidRDefault="00000000">
      <w:pPr>
        <w:spacing w:after="210" w:line="360" w:lineRule="auto"/>
      </w:pPr>
      <w:r>
        <w:rPr>
          <w:rFonts w:ascii="source serif 4" w:eastAsia="source serif 4" w:hAnsi="source serif 4" w:cs="source serif 4"/>
          <w:color w:val="000000"/>
        </w:rPr>
        <w:t>Consider the pathway of a patient who will ultimately undergo total knee replacement:</w:t>
      </w:r>
    </w:p>
    <w:p w14:paraId="1F1A3CF7" w14:textId="77777777" w:rsidR="00D33BD0" w:rsidRDefault="00000000">
      <w:pPr>
        <w:numPr>
          <w:ilvl w:val="0"/>
          <w:numId w:val="4"/>
        </w:numPr>
        <w:spacing w:before="105" w:after="105" w:line="360" w:lineRule="auto"/>
      </w:pPr>
      <w:r>
        <w:rPr>
          <w:rFonts w:ascii="source serif 4" w:eastAsia="source serif 4" w:hAnsi="source serif 4" w:cs="source serif 4"/>
          <w:color w:val="000000"/>
        </w:rPr>
        <w:t>Patient presents to primary care with knee pain</w:t>
      </w:r>
    </w:p>
    <w:p w14:paraId="4CA1908B" w14:textId="77777777" w:rsidR="00D33BD0" w:rsidRDefault="00000000">
      <w:pPr>
        <w:numPr>
          <w:ilvl w:val="0"/>
          <w:numId w:val="4"/>
        </w:numPr>
        <w:spacing w:before="105" w:after="105" w:line="360" w:lineRule="auto"/>
      </w:pPr>
      <w:r>
        <w:rPr>
          <w:rFonts w:ascii="source serif 4" w:eastAsia="source serif 4" w:hAnsi="source serif 4" w:cs="source serif 4"/>
          <w:color w:val="000000"/>
        </w:rPr>
        <w:t xml:space="preserve">Primary care refers to orthopedics (the first physician preference decision: </w:t>
      </w:r>
      <w:r>
        <w:rPr>
          <w:rFonts w:ascii="source serif 4" w:eastAsia="source serif 4" w:hAnsi="source serif 4" w:cs="source serif 4"/>
          <w:i/>
          <w:color w:val="000000"/>
        </w:rPr>
        <w:t>is referral necessary?</w:t>
      </w:r>
      <w:r>
        <w:rPr>
          <w:rFonts w:ascii="source serif 4" w:eastAsia="source serif 4" w:hAnsi="source serif 4" w:cs="source serif 4"/>
          <w:color w:val="000000"/>
        </w:rPr>
        <w:t>)</w:t>
      </w:r>
    </w:p>
    <w:p w14:paraId="6D3302E7" w14:textId="77777777" w:rsidR="00D33BD0" w:rsidRDefault="00000000">
      <w:pPr>
        <w:numPr>
          <w:ilvl w:val="0"/>
          <w:numId w:val="4"/>
        </w:numPr>
        <w:spacing w:before="105" w:after="105" w:line="360" w:lineRule="auto"/>
      </w:pPr>
      <w:r>
        <w:rPr>
          <w:rFonts w:ascii="source serif 4" w:eastAsia="source serif 4" w:hAnsi="source serif 4" w:cs="source serif 4"/>
          <w:color w:val="000000"/>
        </w:rPr>
        <w:t xml:space="preserve">Orthopedist orders imaging studies (the second: </w:t>
      </w:r>
      <w:r>
        <w:rPr>
          <w:rFonts w:ascii="source serif 4" w:eastAsia="source serif 4" w:hAnsi="source serif 4" w:cs="source serif 4"/>
          <w:i/>
          <w:color w:val="000000"/>
        </w:rPr>
        <w:t>which imaging, how much?</w:t>
      </w:r>
      <w:r>
        <w:rPr>
          <w:rFonts w:ascii="source serif 4" w:eastAsia="source serif 4" w:hAnsi="source serif 4" w:cs="source serif 4"/>
          <w:color w:val="000000"/>
        </w:rPr>
        <w:t>)</w:t>
      </w:r>
    </w:p>
    <w:p w14:paraId="59035306" w14:textId="77777777" w:rsidR="00D33BD0" w:rsidRDefault="00000000">
      <w:pPr>
        <w:numPr>
          <w:ilvl w:val="0"/>
          <w:numId w:val="4"/>
        </w:numPr>
        <w:spacing w:before="105" w:after="105" w:line="360" w:lineRule="auto"/>
      </w:pPr>
      <w:r>
        <w:rPr>
          <w:rFonts w:ascii="source serif 4" w:eastAsia="source serif 4" w:hAnsi="source serif 4" w:cs="source serif 4"/>
          <w:color w:val="000000"/>
        </w:rPr>
        <w:t xml:space="preserve">Orthopedist recommends surgical versus conservative management (the third and largest: </w:t>
      </w:r>
      <w:r>
        <w:rPr>
          <w:rFonts w:ascii="source serif 4" w:eastAsia="source serif 4" w:hAnsi="source serif 4" w:cs="source serif 4"/>
          <w:i/>
          <w:color w:val="000000"/>
        </w:rPr>
        <w:t>should the patient have surgery at all?</w:t>
      </w:r>
      <w:r>
        <w:rPr>
          <w:rFonts w:ascii="source serif 4" w:eastAsia="source serif 4" w:hAnsi="source serif 4" w:cs="source serif 4"/>
          <w:color w:val="000000"/>
        </w:rPr>
        <w:t>)</w:t>
      </w:r>
    </w:p>
    <w:p w14:paraId="6F94F7CD" w14:textId="77777777" w:rsidR="00D33BD0" w:rsidRDefault="00000000">
      <w:pPr>
        <w:numPr>
          <w:ilvl w:val="0"/>
          <w:numId w:val="4"/>
        </w:numPr>
        <w:spacing w:before="105" w:after="105" w:line="360" w:lineRule="auto"/>
      </w:pPr>
      <w:r>
        <w:rPr>
          <w:rFonts w:ascii="source serif 4" w:eastAsia="source serif 4" w:hAnsi="source serif 4" w:cs="source serif 4"/>
          <w:color w:val="000000"/>
        </w:rPr>
        <w:t xml:space="preserve">Patient and orthopedist select a surgical approach (the fourth: </w:t>
      </w:r>
      <w:r>
        <w:rPr>
          <w:rFonts w:ascii="source serif 4" w:eastAsia="source serif 4" w:hAnsi="source serif 4" w:cs="source serif 4"/>
          <w:i/>
          <w:color w:val="000000"/>
        </w:rPr>
        <w:t>open versus arthroscopic, unilateral versus bilateral?</w:t>
      </w:r>
      <w:r>
        <w:rPr>
          <w:rFonts w:ascii="source serif 4" w:eastAsia="source serif 4" w:hAnsi="source serif 4" w:cs="source serif 4"/>
          <w:color w:val="000000"/>
        </w:rPr>
        <w:t>)</w:t>
      </w:r>
    </w:p>
    <w:p w14:paraId="40F35F85" w14:textId="77777777" w:rsidR="00D33BD0" w:rsidRDefault="00000000">
      <w:pPr>
        <w:numPr>
          <w:ilvl w:val="0"/>
          <w:numId w:val="4"/>
        </w:numPr>
        <w:spacing w:before="105" w:after="105" w:line="360" w:lineRule="auto"/>
      </w:pPr>
      <w:r>
        <w:rPr>
          <w:rFonts w:ascii="source serif 4" w:eastAsia="source serif 4" w:hAnsi="source serif 4" w:cs="source serif 4"/>
          <w:color w:val="000000"/>
        </w:rPr>
        <w:t xml:space="preserve">Orthopedist selects an implant (the fifth: </w:t>
      </w:r>
      <w:r>
        <w:rPr>
          <w:rFonts w:ascii="source serif 4" w:eastAsia="source serif 4" w:hAnsi="source serif 4" w:cs="source serif 4"/>
          <w:i/>
          <w:color w:val="000000"/>
        </w:rPr>
        <w:t>$1,797 versus $12,093?</w:t>
      </w:r>
      <w:r>
        <w:rPr>
          <w:rFonts w:ascii="source serif 4" w:eastAsia="source serif 4" w:hAnsi="source serif 4" w:cs="source serif 4"/>
          <w:color w:val="000000"/>
        </w:rPr>
        <w:t>)</w:t>
      </w:r>
    </w:p>
    <w:p w14:paraId="53A4484F" w14:textId="77777777" w:rsidR="00D33BD0" w:rsidRDefault="00000000">
      <w:pPr>
        <w:numPr>
          <w:ilvl w:val="0"/>
          <w:numId w:val="4"/>
        </w:numPr>
        <w:spacing w:before="105" w:after="105" w:line="360" w:lineRule="auto"/>
      </w:pPr>
      <w:r>
        <w:rPr>
          <w:rFonts w:ascii="source serif 4" w:eastAsia="source serif 4" w:hAnsi="source serif 4" w:cs="source serif 4"/>
          <w:color w:val="000000"/>
        </w:rPr>
        <w:t>Patient is admitted to the hospital (the CJR episode clock begins)</w:t>
      </w:r>
    </w:p>
    <w:p w14:paraId="6076D41E" w14:textId="77777777" w:rsidR="00D33BD0" w:rsidRDefault="00000000">
      <w:pPr>
        <w:numPr>
          <w:ilvl w:val="0"/>
          <w:numId w:val="4"/>
        </w:numPr>
        <w:spacing w:before="105" w:after="105" w:line="360" w:lineRule="auto"/>
      </w:pPr>
      <w:r>
        <w:rPr>
          <w:rFonts w:ascii="source serif 4" w:eastAsia="source serif 4" w:hAnsi="source serif 4" w:cs="source serif 4"/>
          <w:color w:val="000000"/>
        </w:rPr>
        <w:t>Patient is discharged to SNF, IRF, or home health (the sixth and currently sole accountable decision)</w:t>
      </w:r>
    </w:p>
    <w:p w14:paraId="49B45F6F" w14:textId="77777777" w:rsidR="00D33BD0" w:rsidRDefault="00000000">
      <w:pPr>
        <w:numPr>
          <w:ilvl w:val="0"/>
          <w:numId w:val="4"/>
        </w:numPr>
        <w:spacing w:before="105" w:after="105" w:line="360" w:lineRule="auto"/>
      </w:pPr>
      <w:r>
        <w:rPr>
          <w:rFonts w:ascii="source serif 4" w:eastAsia="source serif 4" w:hAnsi="source serif 4" w:cs="source serif 4"/>
          <w:color w:val="000000"/>
        </w:rPr>
        <w:t>Patient manages recovery with varying compliance, outpatient visits, and physical therapy</w:t>
      </w:r>
    </w:p>
    <w:p w14:paraId="27BE0BAE" w14:textId="77777777" w:rsidR="00D33BD0" w:rsidRDefault="00000000">
      <w:pPr>
        <w:spacing w:after="210" w:line="360" w:lineRule="auto"/>
      </w:pPr>
      <w:r>
        <w:rPr>
          <w:rFonts w:ascii="source serif 4" w:eastAsia="source serif 4" w:hAnsi="source serif 4" w:cs="source serif 4"/>
          <w:color w:val="000000"/>
        </w:rPr>
        <w:t>Under CJR, steps 1 through 6 are invisible to the accountable care model. Steps 7 through 9 are accountable. The Oxbridge variance decomposition data suggest that the combined effect of decisions in steps 1 through 6 creates multiples of the cost variance that steps 7 through 9 could ever address.[^1]</w:t>
      </w:r>
    </w:p>
    <w:p w14:paraId="40D2CA55" w14:textId="77777777" w:rsidR="00D33BD0" w:rsidRDefault="00000000">
      <w:pPr>
        <w:spacing w:before="315" w:after="105" w:line="360" w:lineRule="auto"/>
        <w:ind w:left="-30"/>
      </w:pPr>
      <w:bookmarkStart w:id="33" w:name="bm_8_2_evidence_supporting_higher_987a79"/>
      <w:r>
        <w:rPr>
          <w:rFonts w:ascii="source serif 4" w:eastAsia="source serif 4" w:hAnsi="source serif 4" w:cs="source serif 4"/>
          <w:b/>
          <w:color w:val="000000"/>
          <w:sz w:val="24"/>
        </w:rPr>
        <w:t>8.2 Evidence Supporting Higher Savings from Diagnosis-to-Resolution Episodes</w:t>
      </w:r>
      <w:bookmarkEnd w:id="33"/>
    </w:p>
    <w:p w14:paraId="71A8FA97" w14:textId="77777777" w:rsidR="00D33BD0" w:rsidRDefault="00000000">
      <w:pPr>
        <w:spacing w:after="210" w:line="360" w:lineRule="auto"/>
      </w:pPr>
      <w:r>
        <w:rPr>
          <w:rFonts w:ascii="source serif 4" w:eastAsia="source serif 4" w:hAnsi="source serif 4" w:cs="source serif 4"/>
          <w:color w:val="000000"/>
        </w:rPr>
        <w:t>The evidence that upstream physician decisions represent the dominant cost opportunity is converging from multiple directions:</w:t>
      </w:r>
    </w:p>
    <w:p w14:paraId="7AA25947" w14:textId="77777777" w:rsidR="00D33BD0" w:rsidRDefault="00000000">
      <w:pPr>
        <w:spacing w:after="210" w:line="360" w:lineRule="auto"/>
      </w:pPr>
      <w:r>
        <w:rPr>
          <w:rFonts w:ascii="source serif 4" w:eastAsia="source serif 4" w:hAnsi="source serif 4" w:cs="source serif 4"/>
          <w:b/>
          <w:color w:val="000000"/>
        </w:rPr>
        <w:t>From spine surgery:</w:t>
      </w:r>
      <w:r>
        <w:rPr>
          <w:rFonts w:ascii="source serif 4" w:eastAsia="source serif 4" w:hAnsi="source serif 4" w:cs="source serif 4"/>
          <w:color w:val="000000"/>
        </w:rPr>
        <w:t xml:space="preserve"> The shift from decompression to fusion (driven by physician preference, not evidence) added $8,000–$18,000 per case, and represented roughly $2 billion in potentially unnecessary expenditure over three years in Medicare alone. A spine episode beginning at the first imaging order or specialist consultation—rather than at inpatient admission—would make this decision visible and financially accountable.[^1]</w:t>
      </w:r>
    </w:p>
    <w:p w14:paraId="414804AF" w14:textId="77777777" w:rsidR="00D33BD0" w:rsidRDefault="00000000">
      <w:pPr>
        <w:spacing w:after="210" w:line="360" w:lineRule="auto"/>
      </w:pPr>
      <w:r>
        <w:rPr>
          <w:rFonts w:ascii="source serif 4" w:eastAsia="source serif 4" w:hAnsi="source serif 4" w:cs="source serif 4"/>
          <w:b/>
          <w:color w:val="000000"/>
        </w:rPr>
        <w:lastRenderedPageBreak/>
        <w:t>From coronary disease:</w:t>
      </w:r>
      <w:r>
        <w:rPr>
          <w:rFonts w:ascii="source serif 4" w:eastAsia="source serif 4" w:hAnsi="source serif 4" w:cs="source serif 4"/>
          <w:color w:val="000000"/>
        </w:rPr>
        <w:t xml:space="preserve"> The COURAGE and ISCHEMIA trial data demonstrate that optimal medical therapy produces equivalent or superior outcomes to percutaneous coronary intervention for stable coronary artery disease at $2,000–$12,000 lower episode cost. The decision to recommend PCI is made in the catheterization laboratory consultation, weeks before any inpatient admission. Episode accountability beginning at the diagnosis of stable coronary disease would create incentives for evidence-based management selection.[^1]</w:t>
      </w:r>
    </w:p>
    <w:p w14:paraId="02E88C36" w14:textId="77777777" w:rsidR="00D33BD0" w:rsidRDefault="00000000">
      <w:pPr>
        <w:spacing w:after="210" w:line="360" w:lineRule="auto"/>
      </w:pPr>
      <w:r>
        <w:rPr>
          <w:rFonts w:ascii="source serif 4" w:eastAsia="source serif 4" w:hAnsi="source serif 4" w:cs="source serif 4"/>
          <w:b/>
          <w:color w:val="000000"/>
        </w:rPr>
        <w:t>From joint replacement:</w:t>
      </w:r>
      <w:r>
        <w:rPr>
          <w:rFonts w:ascii="source serif 4" w:eastAsia="source serif 4" w:hAnsi="source serif 4" w:cs="source serif 4"/>
          <w:color w:val="000000"/>
        </w:rPr>
        <w:t xml:space="preserve"> The variation in care management before surgery—physical therapy utilization, weight management support, pain management optimization—influences both the likelihood that surgery is ultimately required and the post-surgical outcome. Diagnosis-triggered episodes could encompass this pre-operative management window, creating incentives for conservative management when evidence supports it.</w:t>
      </w:r>
    </w:p>
    <w:p w14:paraId="2E57B6E7" w14:textId="77777777" w:rsidR="00D33BD0" w:rsidRDefault="00000000">
      <w:pPr>
        <w:spacing w:after="210" w:line="360" w:lineRule="auto"/>
      </w:pPr>
      <w:r>
        <w:rPr>
          <w:rFonts w:ascii="source serif 4" w:eastAsia="source serif 4" w:hAnsi="source serif 4" w:cs="source serif 4"/>
          <w:b/>
          <w:color w:val="000000"/>
        </w:rPr>
        <w:t>From the Oxbridge condition episode data:</w:t>
      </w:r>
      <w:r>
        <w:rPr>
          <w:rFonts w:ascii="source serif 4" w:eastAsia="source serif 4" w:hAnsi="source serif 4" w:cs="source serif 4"/>
          <w:color w:val="000000"/>
        </w:rPr>
        <w:t xml:space="preserve"> The 20- to 40-fold variation in episode cost for chronic conditions (depression/anxiety: 26.8×; contact dermatitis: 39.3×) reflects almost entirely the decisions made by physicians in the outpatient management of these conditions—not the result of any hospitalization event. No existing Medicare or commercial episode program currently captures or holds accountable the efficiency variation in these condition episodes, which represent approximately 83% of commercial spending.[^1]</w:t>
      </w:r>
    </w:p>
    <w:p w14:paraId="76109A1A" w14:textId="77777777" w:rsidR="00D33BD0" w:rsidRDefault="00000000">
      <w:pPr>
        <w:spacing w:before="315" w:after="105" w:line="360" w:lineRule="auto"/>
        <w:ind w:left="-30"/>
      </w:pPr>
      <w:bookmarkStart w:id="34" w:name="bm_8_3_the_transforming_episode_a_bf6487"/>
      <w:r>
        <w:rPr>
          <w:rFonts w:ascii="source serif 4" w:eastAsia="source serif 4" w:hAnsi="source serif 4" w:cs="source serif 4"/>
          <w:b/>
          <w:color w:val="000000"/>
          <w:sz w:val="24"/>
        </w:rPr>
        <w:t>8.3 The Transforming Episode Accountability Model (TEAM): A Step Toward Broader Episodes</w:t>
      </w:r>
      <w:bookmarkEnd w:id="34"/>
    </w:p>
    <w:p w14:paraId="75F4D4A6" w14:textId="77777777" w:rsidR="00D33BD0" w:rsidRDefault="00000000">
      <w:pPr>
        <w:spacing w:after="210" w:line="360" w:lineRule="auto"/>
      </w:pPr>
      <w:r>
        <w:rPr>
          <w:rFonts w:ascii="source serif 4" w:eastAsia="source serif 4" w:hAnsi="source serif 4" w:cs="source serif 4"/>
          <w:color w:val="000000"/>
        </w:rPr>
        <w:t>CMS's Transforming Episode Accountability Model (TEAM), finalized in 2025, represents movement in the direction of broader episode accountability for surgical conditions. TEAM extends accountability for certain episodes and modifies triggers relative to earlier programs. While the full design details of TEAM and its ultimate savings potential are still being evaluated as of mid-2026, its development reflects CMS's recognition that existing program designs have not exhausted the savings potential of episode-based accountability.[^1]</w:t>
      </w:r>
    </w:p>
    <w:p w14:paraId="4C8ED239" w14:textId="77777777" w:rsidR="00D33BD0" w:rsidRDefault="00000000">
      <w:pPr>
        <w:spacing w:after="210" w:line="360" w:lineRule="auto"/>
      </w:pPr>
      <w:r>
        <w:rPr>
          <w:rFonts w:ascii="source serif 4" w:eastAsia="source serif 4" w:hAnsi="source serif 4" w:cs="source serif 4"/>
          <w:color w:val="000000"/>
        </w:rPr>
        <w:t>The commercial insurance analogy is instructive. The Oxbridge data establish that within a commercial population, efficiency accounts for essentially all dollar-weighted episode cost variance across conditions and the large majority across all episodes combined. A commercial episode framework beginning at diagnosis—through incentive overlays, guaranteed-price episode contracts, or episode allowance caps—would capture the full spectrum of physician-preference-driven cost variance that current Medicare bundles leave untouched.[^1]</w:t>
      </w:r>
    </w:p>
    <w:p w14:paraId="1E23C088" w14:textId="77777777" w:rsidR="00D33BD0" w:rsidRDefault="008335B1">
      <w:pPr>
        <w:spacing w:before="210" w:after="0" w:line="360" w:lineRule="auto"/>
      </w:pPr>
      <w:r>
        <w:rPr>
          <w:noProof/>
        </w:rPr>
      </w:r>
      <w:r>
        <w:rPr>
          <w:noProof/>
        </w:rPr>
        <w:pict w14:anchorId="68F3468D">
          <v:rect id="_x0000_s1032"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5C9DE37E" w14:textId="77777777" w:rsidR="00D33BD0" w:rsidRDefault="00000000">
      <w:pPr>
        <w:spacing w:before="315" w:after="105" w:line="360" w:lineRule="auto"/>
        <w:ind w:left="-30"/>
      </w:pPr>
      <w:bookmarkStart w:id="35" w:name="bm_9_the_case_for_comprehensive_e_d2cd3c"/>
      <w:r>
        <w:rPr>
          <w:rFonts w:ascii="source serif 4" w:eastAsia="source serif 4" w:hAnsi="source serif 4" w:cs="source serif 4"/>
          <w:b/>
          <w:color w:val="000000"/>
          <w:sz w:val="24"/>
        </w:rPr>
        <w:lastRenderedPageBreak/>
        <w:t>9. The Case for Comprehensive Episode-Based Payment: A Synthesis</w:t>
      </w:r>
      <w:bookmarkEnd w:id="35"/>
    </w:p>
    <w:p w14:paraId="302D3A8E" w14:textId="77777777" w:rsidR="00D33BD0" w:rsidRDefault="00000000">
      <w:pPr>
        <w:spacing w:before="315" w:after="105" w:line="360" w:lineRule="auto"/>
        <w:ind w:left="-30"/>
      </w:pPr>
      <w:bookmarkStart w:id="36" w:name="bm_9_1_why_episodes_are_the_right_unit"/>
      <w:r>
        <w:rPr>
          <w:rFonts w:ascii="source serif 4" w:eastAsia="source serif 4" w:hAnsi="source serif 4" w:cs="source serif 4"/>
          <w:b/>
          <w:color w:val="000000"/>
          <w:sz w:val="24"/>
        </w:rPr>
        <w:t>9.1 Why Episodes Are the Right Unit</w:t>
      </w:r>
      <w:bookmarkEnd w:id="36"/>
    </w:p>
    <w:p w14:paraId="522C34FF" w14:textId="77777777" w:rsidR="00D33BD0" w:rsidRDefault="00000000">
      <w:pPr>
        <w:spacing w:after="210" w:line="360" w:lineRule="auto"/>
      </w:pPr>
      <w:r>
        <w:rPr>
          <w:rFonts w:ascii="source serif 4" w:eastAsia="source serif 4" w:hAnsi="source serif 4" w:cs="source serif 4"/>
          <w:color w:val="000000"/>
        </w:rPr>
        <w:t>The episode of care is uniquely positioned as the unit of analysis for healthcare cost and quality for three reasons. First, it is the unit in which the patient experiences healthcare: a patient with knee pain does not experience a discrete inpatient admission followed by a discrete SNF stay—she experiences a knee problem from the first symptom through full recovery or adaptation, and the quality of her care is only legible across that complete journey. Second, it is the unit in which cost-determining decisions are made: the physician's recommendation of surgery versus medical management, the implant selected, the treatment intensity chosen, are decisions made at specific points in the episode that determine most of its total cost. Third, it is the unit in which quality and cost are most naturally connected: an episode that ends in a complication, a preventable readmission, or a medication error is simultaneously a quality failure and a cost escalation, and a well-designed episode metric captures both.[</w:t>
      </w:r>
      <w:r>
        <w:rPr>
          <w:rFonts w:ascii="source serif 4" w:eastAsia="source serif 4" w:hAnsi="source serif 4" w:cs="source serif 4"/>
          <w:color w:val="000000"/>
          <w:vertAlign w:val="superscript"/>
        </w:rPr>
        <w:t>2][</w:t>
      </w:r>
      <w:r>
        <w:rPr>
          <w:rFonts w:ascii="source serif 4" w:eastAsia="source serif 4" w:hAnsi="source serif 4" w:cs="source serif 4"/>
          <w:color w:val="000000"/>
        </w:rPr>
        <w:t>1]</w:t>
      </w:r>
    </w:p>
    <w:p w14:paraId="04FA0B8F" w14:textId="77777777" w:rsidR="00D33BD0" w:rsidRDefault="00000000">
      <w:pPr>
        <w:spacing w:after="210" w:line="360" w:lineRule="auto"/>
      </w:pPr>
      <w:r>
        <w:rPr>
          <w:rFonts w:ascii="source serif 4" w:eastAsia="source serif 4" w:hAnsi="source serif 4" w:cs="source serif 4"/>
          <w:color w:val="000000"/>
        </w:rPr>
        <w:t>No other organizational unit—the individual service, the inpatient stay, the annual population—simultaneously renders price and efficiency variance visible, attributable, and actionable at the level of the physician and facility that governs them.[^1]</w:t>
      </w:r>
    </w:p>
    <w:p w14:paraId="079A162A" w14:textId="77777777" w:rsidR="00D33BD0" w:rsidRDefault="00000000">
      <w:pPr>
        <w:spacing w:before="315" w:after="105" w:line="360" w:lineRule="auto"/>
        <w:ind w:left="-30"/>
      </w:pPr>
      <w:bookmarkStart w:id="37" w:name="bm_9_2_the_three_body_evidence_framework"/>
      <w:r>
        <w:rPr>
          <w:rFonts w:ascii="source serif 4" w:eastAsia="source serif 4" w:hAnsi="source serif 4" w:cs="source serif 4"/>
          <w:b/>
          <w:color w:val="000000"/>
          <w:sz w:val="24"/>
        </w:rPr>
        <w:t>9.2 The Three-Body Evidence Framework</w:t>
      </w:r>
      <w:bookmarkEnd w:id="37"/>
    </w:p>
    <w:p w14:paraId="3D50F8FD" w14:textId="77777777" w:rsidR="00D33BD0" w:rsidRDefault="00000000">
      <w:pPr>
        <w:spacing w:after="210" w:line="360" w:lineRule="auto"/>
      </w:pPr>
      <w:r>
        <w:rPr>
          <w:rFonts w:ascii="source serif 4" w:eastAsia="source serif 4" w:hAnsi="source serif 4" w:cs="source serif 4"/>
          <w:color w:val="000000"/>
        </w:rPr>
        <w:t>The three bodies of evidence reviewed in this analysis reinforce each other in a way that produces a policy conclusion stronger than any single body alone:</w:t>
      </w:r>
    </w:p>
    <w:p w14:paraId="666CD06F" w14:textId="77777777" w:rsidR="00D33BD0" w:rsidRDefault="00000000">
      <w:pPr>
        <w:numPr>
          <w:ilvl w:val="0"/>
          <w:numId w:val="5"/>
        </w:numPr>
        <w:spacing w:after="210" w:line="360" w:lineRule="auto"/>
      </w:pPr>
      <w:r>
        <w:rPr>
          <w:rFonts w:ascii="source serif 4" w:eastAsia="source serif 4" w:hAnsi="source serif 4" w:cs="source serif 4"/>
          <w:b/>
          <w:color w:val="000000"/>
        </w:rPr>
        <w:t>The cost-quality evidence</w:t>
      </w:r>
      <w:r>
        <w:rPr>
          <w:rFonts w:ascii="source serif 4" w:eastAsia="source serif 4" w:hAnsi="source serif 4" w:cs="source serif 4"/>
          <w:color w:val="000000"/>
        </w:rPr>
        <w:t xml:space="preserve"> establishes that steering toward more efficient, lower-cost providers does not sacrifice quality in the broad domain of chronic and elective care where most spending occurs—dissolving the assumed trade-off. This licenses aggressive pursuit of efficiency gains.</w:t>
      </w:r>
    </w:p>
    <w:p w14:paraId="778519F2" w14:textId="77777777" w:rsidR="00D33BD0" w:rsidRDefault="00000000">
      <w:pPr>
        <w:numPr>
          <w:ilvl w:val="0"/>
          <w:numId w:val="5"/>
        </w:numPr>
        <w:spacing w:after="210" w:line="360" w:lineRule="auto"/>
      </w:pPr>
      <w:r>
        <w:rPr>
          <w:rFonts w:ascii="source serif 4" w:eastAsia="source serif 4" w:hAnsi="source serif 4" w:cs="source serif 4"/>
          <w:b/>
          <w:color w:val="000000"/>
        </w:rPr>
        <w:t>The variance decomposition evidence</w:t>
      </w:r>
      <w:r>
        <w:rPr>
          <w:rFonts w:ascii="source serif 4" w:eastAsia="source serif 4" w:hAnsi="source serif 4" w:cs="source serif 4"/>
          <w:color w:val="000000"/>
        </w:rPr>
        <w:t xml:space="preserve"> identifies </w:t>
      </w:r>
      <w:r>
        <w:rPr>
          <w:rFonts w:ascii="source serif 4" w:eastAsia="source serif 4" w:hAnsi="source serif 4" w:cs="source serif 4"/>
          <w:i/>
          <w:color w:val="000000"/>
        </w:rPr>
        <w:t>where</w:t>
      </w:r>
      <w:r>
        <w:rPr>
          <w:rFonts w:ascii="source serif 4" w:eastAsia="source serif 4" w:hAnsi="source serif 4" w:cs="source serif 4"/>
          <w:color w:val="000000"/>
        </w:rPr>
        <w:t xml:space="preserve"> to pursue those gains: not in price negotiation (which addresses 12% or less of cross-provider cost variance) but in efficiency accountability for the quantity and intensity of services delivered—the 88–99% of variance governed by physician practice style.</w:t>
      </w:r>
    </w:p>
    <w:p w14:paraId="48416122" w14:textId="77777777" w:rsidR="00D33BD0" w:rsidRDefault="00000000">
      <w:pPr>
        <w:numPr>
          <w:ilvl w:val="0"/>
          <w:numId w:val="5"/>
        </w:numPr>
        <w:spacing w:after="210" w:line="360" w:lineRule="auto"/>
      </w:pPr>
      <w:r>
        <w:rPr>
          <w:rFonts w:ascii="source serif 4" w:eastAsia="source serif 4" w:hAnsi="source serif 4" w:cs="source serif 4"/>
          <w:b/>
          <w:color w:val="000000"/>
        </w:rPr>
        <w:t>The episode program evidence</w:t>
      </w:r>
      <w:r>
        <w:rPr>
          <w:rFonts w:ascii="source serif 4" w:eastAsia="source serif 4" w:hAnsi="source serif 4" w:cs="source serif 4"/>
          <w:color w:val="000000"/>
        </w:rPr>
        <w:t xml:space="preserve"> demonstrates that accountability for defined service windows does reduce costs and maintain quality, but also reveals the structural limitation: post-admission episode triggers capture only the downstream efficiency opportunity and leave the larger upstream physician decision space entirely unaccountable.</w:t>
      </w:r>
    </w:p>
    <w:p w14:paraId="0F3837BC" w14:textId="77777777" w:rsidR="00D33BD0" w:rsidRDefault="00000000">
      <w:pPr>
        <w:spacing w:before="315" w:after="105" w:line="360" w:lineRule="auto"/>
        <w:ind w:left="-30"/>
      </w:pPr>
      <w:bookmarkStart w:id="38" w:name="bm_9_3_episode_design_principles_339b21"/>
      <w:r>
        <w:rPr>
          <w:rFonts w:ascii="source serif 4" w:eastAsia="source serif 4" w:hAnsi="source serif 4" w:cs="source serif 4"/>
          <w:b/>
          <w:color w:val="000000"/>
          <w:sz w:val="24"/>
        </w:rPr>
        <w:lastRenderedPageBreak/>
        <w:t>9.3 Episode Design Principles for Maximizing Value</w:t>
      </w:r>
      <w:bookmarkEnd w:id="38"/>
    </w:p>
    <w:p w14:paraId="7ABEEDBA" w14:textId="77777777" w:rsidR="00D33BD0" w:rsidRDefault="00000000">
      <w:pPr>
        <w:spacing w:after="210" w:line="360" w:lineRule="auto"/>
      </w:pPr>
      <w:r>
        <w:rPr>
          <w:rFonts w:ascii="source serif 4" w:eastAsia="source serif 4" w:hAnsi="source serif 4" w:cs="source serif 4"/>
          <w:color w:val="000000"/>
        </w:rPr>
        <w:t>The evidence supports a set of principles for episode design that would expand savings capture beyond current programs:</w:t>
      </w:r>
    </w:p>
    <w:p w14:paraId="09B2EEE3" w14:textId="77777777" w:rsidR="00D33BD0" w:rsidRDefault="00000000">
      <w:pPr>
        <w:spacing w:after="210" w:line="360" w:lineRule="auto"/>
      </w:pPr>
      <w:r>
        <w:rPr>
          <w:rFonts w:ascii="source serif 4" w:eastAsia="source serif 4" w:hAnsi="source serif 4" w:cs="source serif 4"/>
          <w:b/>
          <w:color w:val="000000"/>
        </w:rPr>
        <w:t>Episode trigger at diagnosis or first specialist contact.</w:t>
      </w:r>
      <w:r>
        <w:rPr>
          <w:rFonts w:ascii="source serif 4" w:eastAsia="source serif 4" w:hAnsi="source serif 4" w:cs="source serif 4"/>
          <w:color w:val="000000"/>
        </w:rPr>
        <w:t xml:space="preserve"> Capturing physician decisions from the first clinical encounter relevant to the condition under management—rather than from inpatient admission—encompasses the decisions that govern the majority of episode cost variance.[^1]</w:t>
      </w:r>
    </w:p>
    <w:p w14:paraId="308326C0" w14:textId="77777777" w:rsidR="00D33BD0" w:rsidRDefault="00000000">
      <w:pPr>
        <w:spacing w:after="210" w:line="360" w:lineRule="auto"/>
      </w:pPr>
      <w:r>
        <w:rPr>
          <w:rFonts w:ascii="source serif 4" w:eastAsia="source serif 4" w:hAnsi="source serif 4" w:cs="source serif 4"/>
          <w:b/>
          <w:color w:val="000000"/>
        </w:rPr>
        <w:t>Risk adjustment for patient complexity across the full episode window.</w:t>
      </w:r>
      <w:r>
        <w:rPr>
          <w:rFonts w:ascii="source serif 4" w:eastAsia="source serif 4" w:hAnsi="source serif 4" w:cs="source serif 4"/>
          <w:color w:val="000000"/>
        </w:rPr>
        <w:t xml:space="preserve"> Expanding the accountable window increases the importance of rigorous risk adjustment to distinguish physician-driven variation from patient-driven variation. Episodes beginning at diagnosis require adjustment for baseline clinical status, comorbidities, functional status, and social determinants of health.[^2]</w:t>
      </w:r>
    </w:p>
    <w:p w14:paraId="327254A4" w14:textId="77777777" w:rsidR="00D33BD0" w:rsidRDefault="00000000">
      <w:pPr>
        <w:spacing w:after="210" w:line="360" w:lineRule="auto"/>
      </w:pPr>
      <w:r>
        <w:rPr>
          <w:rFonts w:ascii="source serif 4" w:eastAsia="source serif 4" w:hAnsi="source serif 4" w:cs="source serif 4"/>
          <w:b/>
          <w:color w:val="000000"/>
        </w:rPr>
        <w:t>Quality measurement at the episode, not service, level.</w:t>
      </w:r>
      <w:r>
        <w:rPr>
          <w:rFonts w:ascii="source serif 4" w:eastAsia="source serif 4" w:hAnsi="source serif 4" w:cs="source serif 4"/>
          <w:color w:val="000000"/>
        </w:rPr>
        <w:t xml:space="preserve"> Quality metrics should be attached to the complete episode outcome—including final functional status, patient-reported experience, and avoidance of complications across the full episode window—not to a subset of process measures or the inpatient stay alone.[^2]</w:t>
      </w:r>
    </w:p>
    <w:p w14:paraId="6725D697" w14:textId="77777777" w:rsidR="00D33BD0" w:rsidRDefault="00000000">
      <w:pPr>
        <w:spacing w:after="210" w:line="360" w:lineRule="auto"/>
      </w:pPr>
      <w:r>
        <w:rPr>
          <w:rFonts w:ascii="source serif 4" w:eastAsia="source serif 4" w:hAnsi="source serif 4" w:cs="source serif 4"/>
          <w:b/>
          <w:color w:val="000000"/>
        </w:rPr>
        <w:t>Inclusive episode definition for condition episodes.</w:t>
      </w:r>
      <w:r>
        <w:rPr>
          <w:rFonts w:ascii="source serif 4" w:eastAsia="source serif 4" w:hAnsi="source serif 4" w:cs="source serif 4"/>
          <w:color w:val="000000"/>
        </w:rPr>
        <w:t xml:space="preserve"> The 83% of commercial spending in condition episodes is currently largely outside any bundled payment accountability structure. Depression, diabetes, hypertension, back pain, and asthma represent enormous opportunity for episode-level efficiency accountability aligned with the variance the Oxbridge data document.[^1]</w:t>
      </w:r>
    </w:p>
    <w:p w14:paraId="31A655D8" w14:textId="77777777" w:rsidR="00D33BD0" w:rsidRDefault="00000000">
      <w:pPr>
        <w:spacing w:after="210" w:line="360" w:lineRule="auto"/>
      </w:pPr>
      <w:r>
        <w:rPr>
          <w:rFonts w:ascii="source serif 4" w:eastAsia="source serif 4" w:hAnsi="source serif 4" w:cs="source serif 4"/>
          <w:b/>
          <w:color w:val="000000"/>
        </w:rPr>
        <w:t>Shared decision-making as an integral episode component.</w:t>
      </w:r>
      <w:r>
        <w:rPr>
          <w:rFonts w:ascii="source serif 4" w:eastAsia="source serif 4" w:hAnsi="source serif 4" w:cs="source serif 4"/>
          <w:color w:val="000000"/>
        </w:rPr>
        <w:t xml:space="preserve"> Given that 3% more shared decision-making is associated with approximately 10% lower spending, and that much of what appears as patient demand reflects undisclosed physician preference through information asymmetry, structured decision aids should be an explicit component of episode design for preference-sensitive conditions.[^1]</w:t>
      </w:r>
    </w:p>
    <w:p w14:paraId="55380407" w14:textId="77777777" w:rsidR="00D33BD0" w:rsidRDefault="008335B1">
      <w:pPr>
        <w:spacing w:before="210" w:after="0" w:line="360" w:lineRule="auto"/>
      </w:pPr>
      <w:r>
        <w:rPr>
          <w:noProof/>
        </w:rPr>
      </w:r>
      <w:r>
        <w:rPr>
          <w:noProof/>
        </w:rPr>
        <w:pict w14:anchorId="451412A2">
          <v:rect id="_x0000_s1031"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60FF6219" w14:textId="77777777" w:rsidR="00D33BD0" w:rsidRDefault="00000000">
      <w:pPr>
        <w:spacing w:before="315" w:after="105" w:line="360" w:lineRule="auto"/>
        <w:ind w:left="-30"/>
      </w:pPr>
      <w:bookmarkStart w:id="39" w:name="bm_10_discussion_implications_for_b1db8f"/>
      <w:r>
        <w:rPr>
          <w:rFonts w:ascii="source serif 4" w:eastAsia="source serif 4" w:hAnsi="source serif 4" w:cs="source serif 4"/>
          <w:b/>
          <w:color w:val="000000"/>
          <w:sz w:val="24"/>
        </w:rPr>
        <w:t>10. Discussion: Implications for Payers, Purchasers, Policy, and Practice</w:t>
      </w:r>
      <w:bookmarkEnd w:id="39"/>
    </w:p>
    <w:p w14:paraId="406345F4" w14:textId="77777777" w:rsidR="00D33BD0" w:rsidRDefault="00000000">
      <w:pPr>
        <w:spacing w:before="315" w:after="105" w:line="360" w:lineRule="auto"/>
        <w:ind w:left="-30"/>
      </w:pPr>
      <w:bookmarkStart w:id="40" w:name="bm_10_1_for_commercial_payers_and_443ffe"/>
      <w:r>
        <w:rPr>
          <w:rFonts w:ascii="source serif 4" w:eastAsia="source serif 4" w:hAnsi="source serif 4" w:cs="source serif 4"/>
          <w:b/>
          <w:color w:val="000000"/>
          <w:sz w:val="24"/>
        </w:rPr>
        <w:t>10.1 For Commercial Payers and Self-Insured Employers</w:t>
      </w:r>
      <w:bookmarkEnd w:id="40"/>
    </w:p>
    <w:p w14:paraId="3B7F788F" w14:textId="77777777" w:rsidR="00D33BD0" w:rsidRDefault="00000000">
      <w:pPr>
        <w:spacing w:after="210" w:line="360" w:lineRule="auto"/>
      </w:pPr>
      <w:r>
        <w:rPr>
          <w:rFonts w:ascii="source serif 4" w:eastAsia="source serif 4" w:hAnsi="source serif 4" w:cs="source serif 4"/>
          <w:color w:val="000000"/>
        </w:rPr>
        <w:t>The Oxbridge variance decomposition is a diagnostic finding for commercial benefit design. The variance within any existing network vastly exceeds the variance between networks—meaning that network negotiation cannot solve the efficiency problem, only episode-level accountability can. Three practical design options are available, arranged by ambition:[^1]</w:t>
      </w:r>
    </w:p>
    <w:p w14:paraId="2440D467" w14:textId="77777777" w:rsidR="00D33BD0" w:rsidRDefault="00000000">
      <w:pPr>
        <w:numPr>
          <w:ilvl w:val="0"/>
          <w:numId w:val="6"/>
        </w:numPr>
        <w:spacing w:before="105" w:after="105" w:line="360" w:lineRule="auto"/>
      </w:pPr>
      <w:r>
        <w:rPr>
          <w:rFonts w:ascii="source serif 4" w:eastAsia="source serif 4" w:hAnsi="source serif 4" w:cs="source serif 4"/>
          <w:b/>
          <w:color w:val="000000"/>
        </w:rPr>
        <w:lastRenderedPageBreak/>
        <w:t>Incentive overlays:</w:t>
      </w:r>
      <w:r>
        <w:rPr>
          <w:rFonts w:ascii="source serif 4" w:eastAsia="source serif 4" w:hAnsi="source serif 4" w:cs="source serif 4"/>
          <w:color w:val="000000"/>
        </w:rPr>
        <w:t xml:space="preserve"> Setting episode benchmarks at the market median care-group price and sharing savings with members who select below it. Savings depend on member uptake but require no network change.</w:t>
      </w:r>
    </w:p>
    <w:p w14:paraId="66212DB6" w14:textId="77777777" w:rsidR="00D33BD0" w:rsidRDefault="00000000">
      <w:pPr>
        <w:numPr>
          <w:ilvl w:val="0"/>
          <w:numId w:val="6"/>
        </w:numPr>
        <w:spacing w:before="105" w:after="105" w:line="360" w:lineRule="auto"/>
      </w:pPr>
      <w:r>
        <w:rPr>
          <w:rFonts w:ascii="source serif 4" w:eastAsia="source serif 4" w:hAnsi="source serif 4" w:cs="source serif 4"/>
          <w:b/>
          <w:color w:val="000000"/>
        </w:rPr>
        <w:t>Guaranteed-price episodes:</w:t>
      </w:r>
      <w:r>
        <w:rPr>
          <w:rFonts w:ascii="source serif 4" w:eastAsia="source serif 4" w:hAnsi="source serif 4" w:cs="source serif 4"/>
          <w:color w:val="000000"/>
        </w:rPr>
        <w:t xml:space="preserve"> Pre-fixing the care group's episode price, providing financial certainty and predictable savings for purchasers and members.</w:t>
      </w:r>
    </w:p>
    <w:p w14:paraId="21E38519" w14:textId="77777777" w:rsidR="00D33BD0" w:rsidRDefault="00000000">
      <w:pPr>
        <w:numPr>
          <w:ilvl w:val="0"/>
          <w:numId w:val="6"/>
        </w:numPr>
        <w:spacing w:before="105" w:after="105" w:line="360" w:lineRule="auto"/>
      </w:pPr>
      <w:r>
        <w:rPr>
          <w:rFonts w:ascii="source serif 4" w:eastAsia="source serif 4" w:hAnsi="source serif 4" w:cs="source serif 4"/>
          <w:b/>
          <w:color w:val="000000"/>
        </w:rPr>
        <w:t>Episode allowance caps:</w:t>
      </w:r>
      <w:r>
        <w:rPr>
          <w:rFonts w:ascii="source serif 4" w:eastAsia="source serif 4" w:hAnsi="source serif 4" w:cs="source serif 4"/>
          <w:color w:val="000000"/>
        </w:rPr>
        <w:t xml:space="preserve"> Building per-episode allowance caps (at the 70th to 90th percentile of market care-group prices) into benefit design, making savings actuarially predictable and reinsurable.[^1]</w:t>
      </w:r>
    </w:p>
    <w:p w14:paraId="3075CBBA" w14:textId="77777777" w:rsidR="00D33BD0" w:rsidRDefault="00000000">
      <w:pPr>
        <w:spacing w:before="315" w:after="105" w:line="360" w:lineRule="auto"/>
        <w:ind w:left="-30"/>
      </w:pPr>
      <w:bookmarkStart w:id="41" w:name="bm_10_2_for_federal_policymakers"/>
      <w:r>
        <w:rPr>
          <w:rFonts w:ascii="source serif 4" w:eastAsia="source serif 4" w:hAnsi="source serif 4" w:cs="source serif 4"/>
          <w:b/>
          <w:color w:val="000000"/>
          <w:sz w:val="24"/>
        </w:rPr>
        <w:t>10.2 For Federal Policymakers</w:t>
      </w:r>
      <w:bookmarkEnd w:id="41"/>
    </w:p>
    <w:p w14:paraId="32156887" w14:textId="77777777" w:rsidR="00D33BD0" w:rsidRDefault="00000000">
      <w:pPr>
        <w:spacing w:after="210" w:line="360" w:lineRule="auto"/>
      </w:pPr>
      <w:r>
        <w:rPr>
          <w:rFonts w:ascii="source serif 4" w:eastAsia="source serif 4" w:hAnsi="source serif 4" w:cs="source serif 4"/>
          <w:color w:val="000000"/>
        </w:rPr>
        <w:t>The evidence base reviewed here supports the following priorities:</w:t>
      </w:r>
    </w:p>
    <w:p w14:paraId="7A57C13B" w14:textId="77777777" w:rsidR="00D33BD0" w:rsidRDefault="00000000">
      <w:pPr>
        <w:numPr>
          <w:ilvl w:val="0"/>
          <w:numId w:val="7"/>
        </w:numPr>
        <w:spacing w:before="105" w:after="105" w:line="360" w:lineRule="auto"/>
      </w:pPr>
      <w:r>
        <w:rPr>
          <w:rFonts w:ascii="source serif 4" w:eastAsia="source serif 4" w:hAnsi="source serif 4" w:cs="source serif 4"/>
          <w:color w:val="000000"/>
        </w:rPr>
        <w:t>Expansion of mandatory episode-based payment programs with diagnosis-to-recovery episode definitions, rather than voluntary programs with admission-triggered episodes</w:t>
      </w:r>
    </w:p>
    <w:p w14:paraId="139CEB7F" w14:textId="77777777" w:rsidR="00D33BD0" w:rsidRDefault="00000000">
      <w:pPr>
        <w:numPr>
          <w:ilvl w:val="0"/>
          <w:numId w:val="7"/>
        </w:numPr>
        <w:spacing w:before="105" w:after="105" w:line="360" w:lineRule="auto"/>
      </w:pPr>
      <w:r>
        <w:rPr>
          <w:rFonts w:ascii="source serif 4" w:eastAsia="source serif 4" w:hAnsi="source serif 4" w:cs="source serif 4"/>
          <w:color w:val="000000"/>
        </w:rPr>
        <w:t>Investment in episode-level risk adjustment methodology sufficient to support complete episode accountability without creating adverse incentives for providers managing complex patients</w:t>
      </w:r>
    </w:p>
    <w:p w14:paraId="060332BE" w14:textId="77777777" w:rsidR="00D33BD0" w:rsidRDefault="00000000">
      <w:pPr>
        <w:numPr>
          <w:ilvl w:val="0"/>
          <w:numId w:val="7"/>
        </w:numPr>
        <w:spacing w:before="105" w:after="105" w:line="360" w:lineRule="auto"/>
      </w:pPr>
      <w:r>
        <w:rPr>
          <w:rFonts w:ascii="source serif 4" w:eastAsia="source serif 4" w:hAnsi="source serif 4" w:cs="source serif 4"/>
          <w:color w:val="000000"/>
        </w:rPr>
        <w:t>Equity-sensitive design: the evidence that existing VBP programs disproportionately penalize safety-net hospitals requires explicit risk adjustment for social complexity in any episode program design[^2]</w:t>
      </w:r>
    </w:p>
    <w:p w14:paraId="43BE6110" w14:textId="77777777" w:rsidR="00D33BD0" w:rsidRDefault="00000000">
      <w:pPr>
        <w:numPr>
          <w:ilvl w:val="0"/>
          <w:numId w:val="7"/>
        </w:numPr>
        <w:spacing w:before="105" w:after="105" w:line="360" w:lineRule="auto"/>
      </w:pPr>
      <w:r>
        <w:rPr>
          <w:rFonts w:ascii="source serif 4" w:eastAsia="source serif 4" w:hAnsi="source serif 4" w:cs="source serif 4"/>
          <w:color w:val="000000"/>
        </w:rPr>
        <w:t>Interoperability and data infrastructure investment: the episode accountability framework requires claims data assembled across settings and attributable to specific physicians—an infrastructure investment that pays dividends across multiple reform initiatives</w:t>
      </w:r>
    </w:p>
    <w:p w14:paraId="799E8BEF" w14:textId="77777777" w:rsidR="00D33BD0" w:rsidRDefault="00000000">
      <w:pPr>
        <w:spacing w:before="315" w:after="105" w:line="360" w:lineRule="auto"/>
        <w:ind w:left="-30"/>
      </w:pPr>
      <w:bookmarkStart w:id="42" w:name="bm_10_3_for_physicians_and_clinic_419aea"/>
      <w:r>
        <w:rPr>
          <w:rFonts w:ascii="source serif 4" w:eastAsia="source serif 4" w:hAnsi="source serif 4" w:cs="source serif 4"/>
          <w:b/>
          <w:color w:val="000000"/>
          <w:sz w:val="24"/>
        </w:rPr>
        <w:t>10.3 For Physicians and Clinical Leaders</w:t>
      </w:r>
      <w:bookmarkEnd w:id="42"/>
    </w:p>
    <w:p w14:paraId="526B49F5" w14:textId="77777777" w:rsidR="00D33BD0" w:rsidRDefault="00000000">
      <w:pPr>
        <w:spacing w:after="210" w:line="360" w:lineRule="auto"/>
      </w:pPr>
      <w:r>
        <w:rPr>
          <w:rFonts w:ascii="source serif 4" w:eastAsia="source serif 4" w:hAnsi="source serif 4" w:cs="source serif 4"/>
          <w:color w:val="000000"/>
        </w:rPr>
        <w:t>The evidence reviewed here does not indict the physician profession—it describes a payment system that creates incentives misaligned with value and provides physicians with inadequate comparative performance information. Most physicians practicing in high-variation environments are unaware that their practice patterns are outliers; when given episode-level cost and quality data attributed to their own performance, many respond with genuine engagement and meaningful behavior change.[^2]</w:t>
      </w:r>
    </w:p>
    <w:p w14:paraId="790118B0" w14:textId="77777777" w:rsidR="00D33BD0" w:rsidRDefault="00000000">
      <w:pPr>
        <w:spacing w:after="210" w:line="360" w:lineRule="auto"/>
      </w:pPr>
      <w:r>
        <w:rPr>
          <w:rFonts w:ascii="source serif 4" w:eastAsia="source serif 4" w:hAnsi="source serif 4" w:cs="source serif 4"/>
          <w:color w:val="000000"/>
        </w:rPr>
        <w:t xml:space="preserve">Episode-based payment is the accountability framework most naturally aligned with how clinicians actually think about care: as complete clinical journeys with beginnings, middles, and ends, organized around a patient's condition or procedure, not around billing categories or facility encounters. Bringing </w:t>
      </w:r>
      <w:r>
        <w:rPr>
          <w:rFonts w:ascii="source serif 4" w:eastAsia="source serif 4" w:hAnsi="source serif 4" w:cs="source serif 4"/>
          <w:color w:val="000000"/>
        </w:rPr>
        <w:lastRenderedPageBreak/>
        <w:t>the physician's clinical logic and the payer's financial unit of measurement into alignment is both the most efficient and the most clinically respectful path to value improvement.[^1]</w:t>
      </w:r>
    </w:p>
    <w:p w14:paraId="3A1D0C3A" w14:textId="77777777" w:rsidR="00D33BD0" w:rsidRDefault="008335B1">
      <w:pPr>
        <w:spacing w:before="210" w:after="0" w:line="360" w:lineRule="auto"/>
      </w:pPr>
      <w:r>
        <w:rPr>
          <w:noProof/>
        </w:rPr>
      </w:r>
      <w:r>
        <w:rPr>
          <w:noProof/>
        </w:rPr>
        <w:pict w14:anchorId="0DFBC709">
          <v:rect id="_x0000_s1030"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076AE351" w14:textId="77777777" w:rsidR="00D33BD0" w:rsidRDefault="00000000">
      <w:pPr>
        <w:spacing w:before="315" w:after="105" w:line="360" w:lineRule="auto"/>
        <w:ind w:left="-30"/>
      </w:pPr>
      <w:bookmarkStart w:id="43" w:name="bm_11_limitations"/>
      <w:r>
        <w:rPr>
          <w:rFonts w:ascii="source serif 4" w:eastAsia="source serif 4" w:hAnsi="source serif 4" w:cs="source serif 4"/>
          <w:b/>
          <w:color w:val="000000"/>
          <w:sz w:val="24"/>
        </w:rPr>
        <w:t>11. Limitations</w:t>
      </w:r>
      <w:bookmarkEnd w:id="43"/>
    </w:p>
    <w:p w14:paraId="2A9F5087" w14:textId="77777777" w:rsidR="00D33BD0" w:rsidRDefault="00000000">
      <w:pPr>
        <w:spacing w:after="210" w:line="360" w:lineRule="auto"/>
      </w:pPr>
      <w:r>
        <w:rPr>
          <w:rFonts w:ascii="source serif 4" w:eastAsia="source serif 4" w:hAnsi="source serif 4" w:cs="source serif 4"/>
          <w:color w:val="000000"/>
        </w:rPr>
        <w:t>Several limitations bound the conclusions of this consolidated synthesis:</w:t>
      </w:r>
    </w:p>
    <w:p w14:paraId="3CE10410" w14:textId="77777777" w:rsidR="00D33BD0" w:rsidRDefault="00000000">
      <w:pPr>
        <w:spacing w:after="210" w:line="360" w:lineRule="auto"/>
      </w:pPr>
      <w:r>
        <w:rPr>
          <w:rFonts w:ascii="source serif 4" w:eastAsia="source serif 4" w:hAnsi="source serif 4" w:cs="source serif 4"/>
          <w:b/>
          <w:color w:val="000000"/>
        </w:rPr>
        <w:t>Single-market commercial data:</w:t>
      </w:r>
      <w:r>
        <w:rPr>
          <w:rFonts w:ascii="source serif 4" w:eastAsia="source serif 4" w:hAnsi="source serif 4" w:cs="source serif 4"/>
          <w:color w:val="000000"/>
        </w:rPr>
        <w:t xml:space="preserve"> The Oxbridge episode variance findings are from four Texas metropolitan markets using a single national insurer's fee schedule, which imposes more homogeneity on the price component than a multi-payer environment would. Sensitivity analyses raise price's share toward 20–25% under multi-payer assumptions without reversing the dominance of efficiency; the condition spending finding remains near 100% efficiency under any fee-schedule assumption. Dollar figures are specific to the four-metro Texas data and should not be applied nationally without adjustment.[^1]</w:t>
      </w:r>
    </w:p>
    <w:p w14:paraId="1F65BC6C" w14:textId="77777777" w:rsidR="00D33BD0" w:rsidRDefault="00000000">
      <w:pPr>
        <w:spacing w:after="210" w:line="360" w:lineRule="auto"/>
      </w:pPr>
      <w:r>
        <w:rPr>
          <w:rFonts w:ascii="source serif 4" w:eastAsia="source serif 4" w:hAnsi="source serif 4" w:cs="source serif 4"/>
          <w:b/>
          <w:color w:val="000000"/>
        </w:rPr>
        <w:t>Admission-triggered Medicare programs as the comparison point:</w:t>
      </w:r>
      <w:r>
        <w:rPr>
          <w:rFonts w:ascii="source serif 4" w:eastAsia="source serif 4" w:hAnsi="source serif 4" w:cs="source serif 4"/>
          <w:color w:val="000000"/>
        </w:rPr>
        <w:t xml:space="preserve"> CJR and BPCI Advanced savings estimates reflect the constrained post-admission accountability window, not the full-episode opportunity. No large-scale program with diagnosis-triggered episode definitions has yet been implemented at sufficient scale to produce definitive savings estimates, making the prospective savings claim inferential rather than directly measured.</w:t>
      </w:r>
    </w:p>
    <w:p w14:paraId="1CFA3036" w14:textId="77777777" w:rsidR="00D33BD0" w:rsidRDefault="00000000">
      <w:pPr>
        <w:spacing w:after="210" w:line="360" w:lineRule="auto"/>
      </w:pPr>
      <w:r>
        <w:rPr>
          <w:rFonts w:ascii="source serif 4" w:eastAsia="source serif 4" w:hAnsi="source serif 4" w:cs="source serif 4"/>
          <w:b/>
          <w:color w:val="000000"/>
        </w:rPr>
        <w:t>Causal identification in observational literature:</w:t>
      </w:r>
      <w:r>
        <w:rPr>
          <w:rFonts w:ascii="source serif 4" w:eastAsia="source serif 4" w:hAnsi="source serif 4" w:cs="source serif 4"/>
          <w:color w:val="000000"/>
        </w:rPr>
        <w:t xml:space="preserve"> The majority of cost-quality studies are observational. The strongest causal evidence (IV designs, natural experiments) is concentrated in specific settings—acute care, patients far from home—that may not fully generalize to elective and chronic care.</w:t>
      </w:r>
    </w:p>
    <w:p w14:paraId="45184B34" w14:textId="77777777" w:rsidR="00D33BD0" w:rsidRDefault="00000000">
      <w:pPr>
        <w:spacing w:after="210" w:line="360" w:lineRule="auto"/>
      </w:pPr>
      <w:r>
        <w:rPr>
          <w:rFonts w:ascii="source serif 4" w:eastAsia="source serif 4" w:hAnsi="source serif 4" w:cs="source serif 4"/>
          <w:b/>
          <w:color w:val="000000"/>
        </w:rPr>
        <w:t>Measurement heterogeneity:</w:t>
      </w:r>
      <w:r>
        <w:rPr>
          <w:rFonts w:ascii="source serif 4" w:eastAsia="source serif 4" w:hAnsi="source serif 4" w:cs="source serif 4"/>
          <w:color w:val="000000"/>
        </w:rPr>
        <w:t xml:space="preserve"> Quality is measured inconsistently across studies—ranging from process measures to risk-adjusted mortality to patient-reported outcomes—and the choice of measure affects whether a cost-quality association appears, complicating cross-study synthesis.[^2]</w:t>
      </w:r>
    </w:p>
    <w:p w14:paraId="5009DD96" w14:textId="77777777" w:rsidR="00D33BD0" w:rsidRDefault="00000000">
      <w:pPr>
        <w:spacing w:after="210" w:line="360" w:lineRule="auto"/>
      </w:pPr>
      <w:r>
        <w:rPr>
          <w:rFonts w:ascii="source serif 4" w:eastAsia="source serif 4" w:hAnsi="source serif 4" w:cs="source serif 4"/>
          <w:b/>
          <w:color w:val="000000"/>
        </w:rPr>
        <w:t>Oncology exclusion:</w:t>
      </w:r>
      <w:r>
        <w:rPr>
          <w:rFonts w:ascii="source serif 4" w:eastAsia="source serif 4" w:hAnsi="source serif 4" w:cs="source serif 4"/>
          <w:color w:val="000000"/>
        </w:rPr>
        <w:t xml:space="preserve"> The Oxbridge data exclude oncology episodes pending integration of clinical registry data; oncology represents a high-cost, rapidly evolving segment where episode accountability may be particularly valuable and particularly complex.[^1]</w:t>
      </w:r>
    </w:p>
    <w:p w14:paraId="25869936" w14:textId="77777777" w:rsidR="00D33BD0" w:rsidRDefault="008335B1">
      <w:pPr>
        <w:spacing w:before="210" w:after="0" w:line="360" w:lineRule="auto"/>
      </w:pPr>
      <w:r>
        <w:rPr>
          <w:noProof/>
        </w:rPr>
      </w:r>
      <w:r>
        <w:rPr>
          <w:noProof/>
        </w:rPr>
        <w:pict w14:anchorId="7FFB412F">
          <v:rect id="_x0000_s1029"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37B07EAA" w14:textId="77777777" w:rsidR="00D33BD0" w:rsidRDefault="00000000">
      <w:pPr>
        <w:spacing w:before="315" w:after="105" w:line="360" w:lineRule="auto"/>
        <w:ind w:left="-30"/>
      </w:pPr>
      <w:bookmarkStart w:id="44" w:name="bm_12_conclusions"/>
      <w:r>
        <w:rPr>
          <w:rFonts w:ascii="source serif 4" w:eastAsia="source serif 4" w:hAnsi="source serif 4" w:cs="source serif 4"/>
          <w:b/>
          <w:color w:val="000000"/>
          <w:sz w:val="24"/>
        </w:rPr>
        <w:t>12. Conclusions</w:t>
      </w:r>
      <w:bookmarkEnd w:id="44"/>
    </w:p>
    <w:p w14:paraId="08F815A1" w14:textId="77777777" w:rsidR="00D33BD0" w:rsidRDefault="00000000">
      <w:pPr>
        <w:spacing w:after="210" w:line="360" w:lineRule="auto"/>
      </w:pPr>
      <w:r>
        <w:rPr>
          <w:rFonts w:ascii="source serif 4" w:eastAsia="source serif 4" w:hAnsi="source serif 4" w:cs="source serif 4"/>
          <w:color w:val="000000"/>
        </w:rPr>
        <w:t>The evidence synthesized in this consolidated meta-analysis supports the following conclusions:</w:t>
      </w:r>
    </w:p>
    <w:p w14:paraId="30627B1C" w14:textId="77777777" w:rsidR="00D33BD0" w:rsidRDefault="00000000">
      <w:pPr>
        <w:numPr>
          <w:ilvl w:val="0"/>
          <w:numId w:val="8"/>
        </w:numPr>
        <w:spacing w:after="210" w:line="360" w:lineRule="auto"/>
      </w:pPr>
      <w:r>
        <w:rPr>
          <w:rFonts w:ascii="source serif 4" w:eastAsia="source serif 4" w:hAnsi="source serif 4" w:cs="source serif 4"/>
          <w:b/>
          <w:color w:val="000000"/>
        </w:rPr>
        <w:lastRenderedPageBreak/>
        <w:t>No reliable positive correlation between cost and quality exists across the broad U.S. healthcare landscape.</w:t>
      </w:r>
      <w:r>
        <w:rPr>
          <w:rFonts w:ascii="source serif 4" w:eastAsia="source serif 4" w:hAnsi="source serif 4" w:cs="source serif 4"/>
          <w:color w:val="000000"/>
        </w:rPr>
        <w:t xml:space="preserve"> The association is context-dependent—positive in acute, time-sensitive care where intensity can be decisive; absent or negative in the chronic and elective care that constitutes the majority of spending. Price specifically shows essentially no relationship to quality at the provider level. Purchasers who steer toward efficient, lower-cost providers in the same market are not, on the weight of the evidence, sacrificing quality for savings.[^2]</w:t>
      </w:r>
    </w:p>
    <w:p w14:paraId="4D19AECC" w14:textId="77777777" w:rsidR="00D33BD0" w:rsidRDefault="00000000">
      <w:pPr>
        <w:numPr>
          <w:ilvl w:val="0"/>
          <w:numId w:val="8"/>
        </w:numPr>
        <w:spacing w:after="210" w:line="360" w:lineRule="auto"/>
      </w:pPr>
      <w:r>
        <w:rPr>
          <w:rFonts w:ascii="source serif 4" w:eastAsia="source serif 4" w:hAnsi="source serif 4" w:cs="source serif 4"/>
          <w:b/>
          <w:color w:val="000000"/>
        </w:rPr>
        <w:t>Cost variance between providers is overwhelmingly driven by efficiency—how much care is delivered—not by unit price.</w:t>
      </w:r>
      <w:r>
        <w:rPr>
          <w:rFonts w:ascii="source serif 4" w:eastAsia="source serif 4" w:hAnsi="source serif 4" w:cs="source serif 4"/>
          <w:color w:val="000000"/>
        </w:rPr>
        <w:t xml:space="preserve"> In an analysis of 8.2 million commercial insurance episodes, efficiency accounted for 88% of equal-weighted cross-provider variance and more than 99% of dollar-weighted variance. For condition episodes (83% of commercial spending), price was essentially irrelevant to cost dispersion. Instruments that act on price address at most 12% of the problem; instruments that act on efficiency—episode-based accountability—address the other 88%.[^1]</w:t>
      </w:r>
    </w:p>
    <w:p w14:paraId="6D53A8D7" w14:textId="77777777" w:rsidR="00D33BD0" w:rsidRDefault="00000000">
      <w:pPr>
        <w:numPr>
          <w:ilvl w:val="0"/>
          <w:numId w:val="8"/>
        </w:numPr>
        <w:spacing w:after="210" w:line="360" w:lineRule="auto"/>
      </w:pPr>
      <w:r>
        <w:rPr>
          <w:rFonts w:ascii="source serif 4" w:eastAsia="source serif 4" w:hAnsi="source serif 4" w:cs="source serif 4"/>
          <w:b/>
          <w:color w:val="000000"/>
        </w:rPr>
        <w:t>Physician practice style is the primary mechanism of efficiency variance.</w:t>
      </w:r>
      <w:r>
        <w:rPr>
          <w:rFonts w:ascii="source serif 4" w:eastAsia="source serif 4" w:hAnsi="source serif 4" w:cs="source serif 4"/>
          <w:color w:val="000000"/>
        </w:rPr>
        <w:t xml:space="preserve"> Physicians account for 30–35% of geographic utilization variation and are three times as important as non-physician supply-side factors. Physician beliefs unsupported by clinical evidence, training culture, local practice norms, capacity-induced demand, and fee-for-service financial incentives collectively produce the efficiency divergence that the Oxbridge data capture at the care-group level.[^1]</w:t>
      </w:r>
    </w:p>
    <w:p w14:paraId="3D812D0D" w14:textId="77777777" w:rsidR="00D33BD0" w:rsidRDefault="00000000">
      <w:pPr>
        <w:numPr>
          <w:ilvl w:val="0"/>
          <w:numId w:val="8"/>
        </w:numPr>
        <w:spacing w:after="210" w:line="360" w:lineRule="auto"/>
      </w:pPr>
      <w:r>
        <w:rPr>
          <w:rFonts w:ascii="source serif 4" w:eastAsia="source serif 4" w:hAnsi="source serif 4" w:cs="source serif 4"/>
          <w:b/>
          <w:color w:val="000000"/>
        </w:rPr>
        <w:t>Episode-based payment models have proven that cost reduction and quality maintenance are simultaneously achievable.</w:t>
      </w:r>
      <w:r>
        <w:rPr>
          <w:rFonts w:ascii="source serif 4" w:eastAsia="source serif 4" w:hAnsi="source serif 4" w:cs="source serif 4"/>
          <w:color w:val="000000"/>
        </w:rPr>
        <w:t xml:space="preserve"> CJR reduced LEJR episode costs by approximately 2% while improving readmission rates, complication rates, and discharge disposition. BPCI Advanced achieved a 1.2% total episode spending reduction for medical conditions, primarily through post-acute care efficiency gains. MSSP ACOs generated a record $2.48 billion in net Medicare savings in 2024, with cumulative net savings of $13.6 billion since 2012.[^2]</w:t>
      </w:r>
    </w:p>
    <w:p w14:paraId="1FAA299C" w14:textId="77777777" w:rsidR="00D33BD0" w:rsidRDefault="00000000">
      <w:pPr>
        <w:numPr>
          <w:ilvl w:val="0"/>
          <w:numId w:val="8"/>
        </w:numPr>
        <w:spacing w:after="210" w:line="360" w:lineRule="auto"/>
      </w:pPr>
      <w:r>
        <w:rPr>
          <w:rFonts w:ascii="source serif 4" w:eastAsia="source serif 4" w:hAnsi="source serif 4" w:cs="source serif 4"/>
          <w:b/>
          <w:color w:val="000000"/>
        </w:rPr>
        <w:t>Existing episode programs have captured only a fraction of achievable savings because they are triggered by inpatient admission, not by diagnosis.</w:t>
      </w:r>
      <w:r>
        <w:rPr>
          <w:rFonts w:ascii="source serif 4" w:eastAsia="source serif 4" w:hAnsi="source serif 4" w:cs="source serif 4"/>
          <w:color w:val="000000"/>
        </w:rPr>
        <w:t xml:space="preserve"> The physician decisions that create the majority of episode cost variance—whether to operate, which treatment path to choose, which implant or drug to select, which surgical approach to use—occur before admission and are entirely outside the accountable window under current program designs. Higher savings are achievable—and logically expected—from episode definitions that begin at diagnosis and thereby bring the full range of physician preference and practice style influences into the accountable care window.[^1]</w:t>
      </w:r>
    </w:p>
    <w:p w14:paraId="5E0B1000" w14:textId="77777777" w:rsidR="00D33BD0" w:rsidRDefault="00000000">
      <w:pPr>
        <w:numPr>
          <w:ilvl w:val="0"/>
          <w:numId w:val="8"/>
        </w:numPr>
        <w:spacing w:after="210" w:line="360" w:lineRule="auto"/>
      </w:pPr>
      <w:r>
        <w:rPr>
          <w:rFonts w:ascii="source serif 4" w:eastAsia="source serif 4" w:hAnsi="source serif 4" w:cs="source serif 4"/>
          <w:b/>
          <w:color w:val="000000"/>
        </w:rPr>
        <w:lastRenderedPageBreak/>
        <w:t>The episode of care—defined from diagnosis through recovery—is the unit of measurement and accountability most directly matched to the structure of the U.S. healthcare cost problem.</w:t>
      </w:r>
      <w:r>
        <w:rPr>
          <w:rFonts w:ascii="source serif 4" w:eastAsia="source serif 4" w:hAnsi="source serif 4" w:cs="source serif 4"/>
          <w:color w:val="000000"/>
        </w:rPr>
        <w:t xml:space="preserve"> It is the unit in which patients experience care, the unit in which cost-determining decisions are made, and the unit in which cost and quality are most naturally connected. Organizing payment, measurement, and benefit design around complete episodes—for both surgical and condition care—is the intervention most likely to generate durable, simultaneous improvements in cost and quality.[</w:t>
      </w:r>
      <w:r>
        <w:rPr>
          <w:rFonts w:ascii="source serif 4" w:eastAsia="source serif 4" w:hAnsi="source serif 4" w:cs="source serif 4"/>
          <w:color w:val="000000"/>
          <w:vertAlign w:val="superscript"/>
        </w:rPr>
        <w:t>2][</w:t>
      </w:r>
      <w:r>
        <w:rPr>
          <w:rFonts w:ascii="source serif 4" w:eastAsia="source serif 4" w:hAnsi="source serif 4" w:cs="source serif 4"/>
          <w:color w:val="000000"/>
        </w:rPr>
        <w:t>1]</w:t>
      </w:r>
    </w:p>
    <w:p w14:paraId="6971B108" w14:textId="77777777" w:rsidR="00D33BD0" w:rsidRDefault="00000000">
      <w:pPr>
        <w:spacing w:after="210" w:line="360" w:lineRule="auto"/>
      </w:pPr>
      <w:r>
        <w:rPr>
          <w:rFonts w:ascii="source serif 4" w:eastAsia="source serif 4" w:hAnsi="source serif 4" w:cs="source serif 4"/>
          <w:color w:val="000000"/>
        </w:rPr>
        <w:t>The dominant cost-management strategy of the past three decades has been price-focused and service-specific, matched to neither the dominant source of cost variance (efficiency) nor the unit in which clinical value is created (the episode). The evidence base has accumulated to a point where the misalignment between the problem and the solution is no longer a matter of uncertainty—it is a matter of institutional inertia. Episode-based payment, thoughtfully designed to begin at diagnosis rather than admission and applied across condition as well as procedure episodes, offers the most durable path to a healthcare system that spends less and delivers more.</w:t>
      </w:r>
    </w:p>
    <w:p w14:paraId="49A1625D" w14:textId="77777777" w:rsidR="00D33BD0" w:rsidRDefault="008335B1">
      <w:pPr>
        <w:spacing w:before="210" w:after="0" w:line="360" w:lineRule="auto"/>
      </w:pPr>
      <w:r>
        <w:rPr>
          <w:noProof/>
        </w:rPr>
      </w:r>
      <w:r>
        <w:rPr>
          <w:noProof/>
        </w:rPr>
        <w:pict w14:anchorId="7AE0F93D">
          <v:rect id="_x0000_s1028"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4F47572F" w14:textId="77777777" w:rsidR="00D33BD0" w:rsidRDefault="00000000">
      <w:pPr>
        <w:spacing w:before="315" w:after="105" w:line="360" w:lineRule="auto"/>
        <w:ind w:left="-30"/>
      </w:pPr>
      <w:bookmarkStart w:id="45" w:name="references"/>
      <w:r>
        <w:rPr>
          <w:rFonts w:ascii="source serif 4" w:eastAsia="source serif 4" w:hAnsi="source serif 4" w:cs="source serif 4"/>
          <w:b/>
          <w:color w:val="000000"/>
          <w:sz w:val="24"/>
        </w:rPr>
        <w:t>References</w:t>
      </w:r>
      <w:bookmarkEnd w:id="45"/>
    </w:p>
    <w:p w14:paraId="7EE89843" w14:textId="77777777" w:rsidR="00D33BD0" w:rsidRDefault="00000000">
      <w:pPr>
        <w:spacing w:after="210" w:line="360" w:lineRule="auto"/>
      </w:pPr>
      <w:r>
        <w:rPr>
          <w:rFonts w:ascii="source serif 4" w:eastAsia="source serif 4" w:hAnsi="source serif 4" w:cs="source serif 4"/>
          <w:b/>
          <w:color w:val="000000"/>
        </w:rPr>
        <w:t>1.</w:t>
      </w:r>
      <w:r>
        <w:rPr>
          <w:rFonts w:ascii="source serif 4" w:eastAsia="source serif 4" w:hAnsi="source serif 4" w:cs="source serif 4"/>
          <w:color w:val="000000"/>
        </w:rPr>
        <w:t xml:space="preserve"> Hussey PS, Wertheimer S, Mehrotra A. The association between health care quality and cost: a systematic review. </w:t>
      </w:r>
      <w:r>
        <w:rPr>
          <w:rFonts w:ascii="source serif 4" w:eastAsia="source serif 4" w:hAnsi="source serif 4" w:cs="source serif 4"/>
          <w:i/>
          <w:color w:val="000000"/>
        </w:rPr>
        <w:t>Ann Intern Med</w:t>
      </w:r>
      <w:r>
        <w:rPr>
          <w:rFonts w:ascii="source serif 4" w:eastAsia="source serif 4" w:hAnsi="source serif 4" w:cs="source serif 4"/>
          <w:color w:val="000000"/>
        </w:rPr>
        <w:t>. 2013;158(1):27–34.</w:t>
      </w:r>
    </w:p>
    <w:p w14:paraId="3C263BA6" w14:textId="77777777" w:rsidR="00D33BD0" w:rsidRDefault="00000000">
      <w:pPr>
        <w:spacing w:after="210" w:line="360" w:lineRule="auto"/>
      </w:pPr>
      <w:r>
        <w:rPr>
          <w:rFonts w:ascii="source serif 4" w:eastAsia="source serif 4" w:hAnsi="source serif 4" w:cs="source serif 4"/>
          <w:b/>
          <w:color w:val="000000"/>
        </w:rPr>
        <w:t>2.</w:t>
      </w:r>
      <w:r>
        <w:rPr>
          <w:rFonts w:ascii="source serif 4" w:eastAsia="source serif 4" w:hAnsi="source serif 4" w:cs="source serif 4"/>
          <w:color w:val="000000"/>
        </w:rPr>
        <w:t xml:space="preserve"> Jamalabadi S, Winter V, Schreyögg J. A systematic review of the association between hospital cost/price and the quality of care. </w:t>
      </w:r>
      <w:r>
        <w:rPr>
          <w:rFonts w:ascii="source serif 4" w:eastAsia="source serif 4" w:hAnsi="source serif 4" w:cs="source serif 4"/>
          <w:i/>
          <w:color w:val="000000"/>
        </w:rPr>
        <w:t>Appl Health Econ Health Policy</w:t>
      </w:r>
      <w:r>
        <w:rPr>
          <w:rFonts w:ascii="source serif 4" w:eastAsia="source serif 4" w:hAnsi="source serif 4" w:cs="source serif 4"/>
          <w:color w:val="000000"/>
        </w:rPr>
        <w:t>. 2020;18(5):625–639.</w:t>
      </w:r>
    </w:p>
    <w:p w14:paraId="21CB2C25" w14:textId="77777777" w:rsidR="00D33BD0" w:rsidRDefault="00000000">
      <w:pPr>
        <w:spacing w:after="210" w:line="360" w:lineRule="auto"/>
      </w:pPr>
      <w:r>
        <w:rPr>
          <w:rFonts w:ascii="source serif 4" w:eastAsia="source serif 4" w:hAnsi="source serif 4" w:cs="source serif 4"/>
          <w:b/>
          <w:color w:val="000000"/>
        </w:rPr>
        <w:t>3.</w:t>
      </w:r>
      <w:r>
        <w:rPr>
          <w:rFonts w:ascii="source serif 4" w:eastAsia="source serif 4" w:hAnsi="source serif 4" w:cs="source serif 4"/>
          <w:color w:val="000000"/>
        </w:rPr>
        <w:t xml:space="preserve"> Søgaard R, Enemark U. The cost–quality relationship in European hospitals: a systematic review. </w:t>
      </w:r>
      <w:r>
        <w:rPr>
          <w:rFonts w:ascii="source serif 4" w:eastAsia="source serif 4" w:hAnsi="source serif 4" w:cs="source serif 4"/>
          <w:i/>
          <w:color w:val="000000"/>
        </w:rPr>
        <w:t>J Health Serv Res Policy</w:t>
      </w:r>
      <w:r>
        <w:rPr>
          <w:rFonts w:ascii="source serif 4" w:eastAsia="source serif 4" w:hAnsi="source serif 4" w:cs="source serif 4"/>
          <w:color w:val="000000"/>
        </w:rPr>
        <w:t>. 2017;22(2):126–133.</w:t>
      </w:r>
    </w:p>
    <w:p w14:paraId="0A693CF2" w14:textId="77777777" w:rsidR="00D33BD0" w:rsidRDefault="00000000">
      <w:pPr>
        <w:spacing w:after="210" w:line="360" w:lineRule="auto"/>
      </w:pPr>
      <w:r>
        <w:rPr>
          <w:rFonts w:ascii="source serif 4" w:eastAsia="source serif 4" w:hAnsi="source serif 4" w:cs="source serif 4"/>
          <w:b/>
          <w:color w:val="000000"/>
        </w:rPr>
        <w:t>4.</w:t>
      </w:r>
      <w:r>
        <w:rPr>
          <w:rFonts w:ascii="source serif 4" w:eastAsia="source serif 4" w:hAnsi="source serif 4" w:cs="source serif 4"/>
          <w:color w:val="000000"/>
        </w:rPr>
        <w:t xml:space="preserve"> Fisher ES, Wennberg DE, Stukel TA, Gottlieb DJ, Lucas FL, Pinder EL. The implications of regional variations in Medicare spending. Part 1: the content, quality, and accessibility of care. </w:t>
      </w:r>
      <w:r>
        <w:rPr>
          <w:rFonts w:ascii="source serif 4" w:eastAsia="source serif 4" w:hAnsi="source serif 4" w:cs="source serif 4"/>
          <w:i/>
          <w:color w:val="000000"/>
        </w:rPr>
        <w:t>Ann Intern Med</w:t>
      </w:r>
      <w:r>
        <w:rPr>
          <w:rFonts w:ascii="source serif 4" w:eastAsia="source serif 4" w:hAnsi="source serif 4" w:cs="source serif 4"/>
          <w:color w:val="000000"/>
        </w:rPr>
        <w:t>. 2003;138(4):273–287.</w:t>
      </w:r>
    </w:p>
    <w:p w14:paraId="0253B78E" w14:textId="77777777" w:rsidR="00D33BD0" w:rsidRDefault="00000000">
      <w:pPr>
        <w:spacing w:after="210" w:line="360" w:lineRule="auto"/>
      </w:pPr>
      <w:r>
        <w:rPr>
          <w:rFonts w:ascii="source serif 4" w:eastAsia="source serif 4" w:hAnsi="source serif 4" w:cs="source serif 4"/>
          <w:b/>
          <w:color w:val="000000"/>
        </w:rPr>
        <w:t>5.</w:t>
      </w:r>
      <w:r>
        <w:rPr>
          <w:rFonts w:ascii="source serif 4" w:eastAsia="source serif 4" w:hAnsi="source serif 4" w:cs="source serif 4"/>
          <w:color w:val="000000"/>
        </w:rPr>
        <w:t xml:space="preserve"> Fisher ES, Wennberg DE, Stukel TA, Gottlieb DJ, Lucas FL, Pinder EL. The implications of regional variations in Medicare spending. Part 2: health outcomes and satisfaction with care. </w:t>
      </w:r>
      <w:r>
        <w:rPr>
          <w:rFonts w:ascii="source serif 4" w:eastAsia="source serif 4" w:hAnsi="source serif 4" w:cs="source serif 4"/>
          <w:i/>
          <w:color w:val="000000"/>
        </w:rPr>
        <w:t>Ann Intern Med</w:t>
      </w:r>
      <w:r>
        <w:rPr>
          <w:rFonts w:ascii="source serif 4" w:eastAsia="source serif 4" w:hAnsi="source serif 4" w:cs="source serif 4"/>
          <w:color w:val="000000"/>
        </w:rPr>
        <w:t>. 2003;138(4):288–298.</w:t>
      </w:r>
    </w:p>
    <w:p w14:paraId="60B5796F" w14:textId="77777777" w:rsidR="00D33BD0" w:rsidRDefault="00000000">
      <w:pPr>
        <w:spacing w:after="210" w:line="360" w:lineRule="auto"/>
      </w:pPr>
      <w:r>
        <w:rPr>
          <w:rFonts w:ascii="source serif 4" w:eastAsia="source serif 4" w:hAnsi="source serif 4" w:cs="source serif 4"/>
          <w:b/>
          <w:color w:val="000000"/>
        </w:rPr>
        <w:t>6.</w:t>
      </w:r>
      <w:r>
        <w:rPr>
          <w:rFonts w:ascii="source serif 4" w:eastAsia="source serif 4" w:hAnsi="source serif 4" w:cs="source serif 4"/>
          <w:color w:val="000000"/>
        </w:rPr>
        <w:t xml:space="preserve"> Baicker K, Chandra A. Medicare spending, the physician workforce, and beneficiaries' quality of care. </w:t>
      </w:r>
      <w:r>
        <w:rPr>
          <w:rFonts w:ascii="source serif 4" w:eastAsia="source serif 4" w:hAnsi="source serif 4" w:cs="source serif 4"/>
          <w:i/>
          <w:color w:val="000000"/>
        </w:rPr>
        <w:t>Health Aff (Millwood)</w:t>
      </w:r>
      <w:r>
        <w:rPr>
          <w:rFonts w:ascii="source serif 4" w:eastAsia="source serif 4" w:hAnsi="source serif 4" w:cs="source serif 4"/>
          <w:color w:val="000000"/>
        </w:rPr>
        <w:t>. 2004;23(Suppl 1):W4-184–W4-197.</w:t>
      </w:r>
    </w:p>
    <w:p w14:paraId="2D006FAB" w14:textId="77777777" w:rsidR="00D33BD0" w:rsidRDefault="00000000">
      <w:pPr>
        <w:spacing w:after="210" w:line="360" w:lineRule="auto"/>
      </w:pPr>
      <w:r>
        <w:rPr>
          <w:rFonts w:ascii="source serif 4" w:eastAsia="source serif 4" w:hAnsi="source serif 4" w:cs="source serif 4"/>
          <w:b/>
          <w:color w:val="000000"/>
        </w:rPr>
        <w:lastRenderedPageBreak/>
        <w:t>7.</w:t>
      </w:r>
      <w:r>
        <w:rPr>
          <w:rFonts w:ascii="source serif 4" w:eastAsia="source serif 4" w:hAnsi="source serif 4" w:cs="source serif 4"/>
          <w:color w:val="000000"/>
        </w:rPr>
        <w:t xml:space="preserve"> Yasaitis L, Fisher ES, Skinner JS, Chandra A. Hospital quality and intensity of spending: is there an association? </w:t>
      </w:r>
      <w:r>
        <w:rPr>
          <w:rFonts w:ascii="source serif 4" w:eastAsia="source serif 4" w:hAnsi="source serif 4" w:cs="source serif 4"/>
          <w:i/>
          <w:color w:val="000000"/>
        </w:rPr>
        <w:t>Health Aff (Millwood)</w:t>
      </w:r>
      <w:r>
        <w:rPr>
          <w:rFonts w:ascii="source serif 4" w:eastAsia="source serif 4" w:hAnsi="source serif 4" w:cs="source serif 4"/>
          <w:color w:val="000000"/>
        </w:rPr>
        <w:t>. 2009;28(4):w566–w572.</w:t>
      </w:r>
    </w:p>
    <w:p w14:paraId="04C8C386" w14:textId="77777777" w:rsidR="00D33BD0" w:rsidRDefault="00000000">
      <w:pPr>
        <w:spacing w:after="210" w:line="360" w:lineRule="auto"/>
      </w:pPr>
      <w:r>
        <w:rPr>
          <w:rFonts w:ascii="source serif 4" w:eastAsia="source serif 4" w:hAnsi="source serif 4" w:cs="source serif 4"/>
          <w:b/>
          <w:color w:val="000000"/>
        </w:rPr>
        <w:t>8.</w:t>
      </w:r>
      <w:r>
        <w:rPr>
          <w:rFonts w:ascii="source serif 4" w:eastAsia="source serif 4" w:hAnsi="source serif 4" w:cs="source serif 4"/>
          <w:color w:val="000000"/>
        </w:rPr>
        <w:t xml:space="preserve"> Sirovich BE, Gottlieb DJ, Welch HG, Fisher ES. Regional variations in health care intensity and physician perceptions of quality of care. </w:t>
      </w:r>
      <w:r>
        <w:rPr>
          <w:rFonts w:ascii="source serif 4" w:eastAsia="source serif 4" w:hAnsi="source serif 4" w:cs="source serif 4"/>
          <w:i/>
          <w:color w:val="000000"/>
        </w:rPr>
        <w:t>Ann Intern Med</w:t>
      </w:r>
      <w:r>
        <w:rPr>
          <w:rFonts w:ascii="source serif 4" w:eastAsia="source serif 4" w:hAnsi="source serif 4" w:cs="source serif 4"/>
          <w:color w:val="000000"/>
        </w:rPr>
        <w:t>. 2006;144(9):641–649.</w:t>
      </w:r>
    </w:p>
    <w:p w14:paraId="25019B56" w14:textId="77777777" w:rsidR="00D33BD0" w:rsidRDefault="00000000">
      <w:pPr>
        <w:spacing w:after="210" w:line="360" w:lineRule="auto"/>
      </w:pPr>
      <w:r>
        <w:rPr>
          <w:rFonts w:ascii="source serif 4" w:eastAsia="source serif 4" w:hAnsi="source serif 4" w:cs="source serif 4"/>
          <w:b/>
          <w:color w:val="000000"/>
        </w:rPr>
        <w:t>9.</w:t>
      </w:r>
      <w:r>
        <w:rPr>
          <w:rFonts w:ascii="source serif 4" w:eastAsia="source serif 4" w:hAnsi="source serif 4" w:cs="source serif 4"/>
          <w:color w:val="000000"/>
        </w:rPr>
        <w:t xml:space="preserve"> Jha AK, Orav EJ, Dobson A, Book RA, Epstein AM. Measuring efficiency: the association of hospital costs and quality of care. </w:t>
      </w:r>
      <w:r>
        <w:rPr>
          <w:rFonts w:ascii="source serif 4" w:eastAsia="source serif 4" w:hAnsi="source serif 4" w:cs="source serif 4"/>
          <w:i/>
          <w:color w:val="000000"/>
        </w:rPr>
        <w:t>Health Aff (Millwood)</w:t>
      </w:r>
      <w:r>
        <w:rPr>
          <w:rFonts w:ascii="source serif 4" w:eastAsia="source serif 4" w:hAnsi="source serif 4" w:cs="source serif 4"/>
          <w:color w:val="000000"/>
        </w:rPr>
        <w:t>. 2009;28(3):897–906.</w:t>
      </w:r>
    </w:p>
    <w:p w14:paraId="49B0F9CC" w14:textId="77777777" w:rsidR="00D33BD0" w:rsidRDefault="00000000">
      <w:pPr>
        <w:spacing w:after="210" w:line="360" w:lineRule="auto"/>
      </w:pPr>
      <w:r>
        <w:rPr>
          <w:rFonts w:ascii="source serif 4" w:eastAsia="source serif 4" w:hAnsi="source serif 4" w:cs="source serif 4"/>
          <w:b/>
          <w:color w:val="000000"/>
        </w:rPr>
        <w:t>10.</w:t>
      </w:r>
      <w:r>
        <w:rPr>
          <w:rFonts w:ascii="source serif 4" w:eastAsia="source serif 4" w:hAnsi="source serif 4" w:cs="source serif 4"/>
          <w:color w:val="000000"/>
        </w:rPr>
        <w:t xml:space="preserve"> Roberts ET, Mehrotra A, McWilliams JM. High-price and low-price physician practices do not differ significantly on care quality or efficiency. </w:t>
      </w:r>
      <w:r>
        <w:rPr>
          <w:rFonts w:ascii="source serif 4" w:eastAsia="source serif 4" w:hAnsi="source serif 4" w:cs="source serif 4"/>
          <w:i/>
          <w:color w:val="000000"/>
        </w:rPr>
        <w:t>Health Aff (Millwood)</w:t>
      </w:r>
      <w:r>
        <w:rPr>
          <w:rFonts w:ascii="source serif 4" w:eastAsia="source serif 4" w:hAnsi="source serif 4" w:cs="source serif 4"/>
          <w:color w:val="000000"/>
        </w:rPr>
        <w:t>. 2017;36(5):855–864.</w:t>
      </w:r>
    </w:p>
    <w:p w14:paraId="256BF2DC" w14:textId="77777777" w:rsidR="00D33BD0" w:rsidRDefault="00000000">
      <w:pPr>
        <w:spacing w:after="210" w:line="360" w:lineRule="auto"/>
      </w:pPr>
      <w:r>
        <w:rPr>
          <w:rFonts w:ascii="source serif 4" w:eastAsia="source serif 4" w:hAnsi="source serif 4" w:cs="source serif 4"/>
          <w:b/>
          <w:color w:val="000000"/>
        </w:rPr>
        <w:t>11.</w:t>
      </w:r>
      <w:r>
        <w:rPr>
          <w:rFonts w:ascii="source serif 4" w:eastAsia="source serif 4" w:hAnsi="source serif 4" w:cs="source serif 4"/>
          <w:color w:val="000000"/>
        </w:rPr>
        <w:t xml:space="preserve"> Romley JA, Jena AB, Goldman DP. Hospital spending and inpatient mortality: evidence from California. An observational study. </w:t>
      </w:r>
      <w:r>
        <w:rPr>
          <w:rFonts w:ascii="source serif 4" w:eastAsia="source serif 4" w:hAnsi="source serif 4" w:cs="source serif 4"/>
          <w:i/>
          <w:color w:val="000000"/>
        </w:rPr>
        <w:t>Ann Intern Med</w:t>
      </w:r>
      <w:r>
        <w:rPr>
          <w:rFonts w:ascii="source serif 4" w:eastAsia="source serif 4" w:hAnsi="source serif 4" w:cs="source serif 4"/>
          <w:color w:val="000000"/>
        </w:rPr>
        <w:t>. 2011;154(3):160–167.</w:t>
      </w:r>
    </w:p>
    <w:p w14:paraId="39509D0B" w14:textId="77777777" w:rsidR="00D33BD0" w:rsidRDefault="00000000">
      <w:pPr>
        <w:spacing w:after="210" w:line="360" w:lineRule="auto"/>
      </w:pPr>
      <w:r>
        <w:rPr>
          <w:rFonts w:ascii="source serif 4" w:eastAsia="source serif 4" w:hAnsi="source serif 4" w:cs="source serif 4"/>
          <w:b/>
          <w:color w:val="000000"/>
        </w:rPr>
        <w:t>12.</w:t>
      </w:r>
      <w:r>
        <w:rPr>
          <w:rFonts w:ascii="source serif 4" w:eastAsia="source serif 4" w:hAnsi="source serif 4" w:cs="source serif 4"/>
          <w:color w:val="000000"/>
        </w:rPr>
        <w:t xml:space="preserve"> Doyle JJ. Returns to local-area health care spending: evidence from health shocks to patients far from home. </w:t>
      </w:r>
      <w:r>
        <w:rPr>
          <w:rFonts w:ascii="source serif 4" w:eastAsia="source serif 4" w:hAnsi="source serif 4" w:cs="source serif 4"/>
          <w:i/>
          <w:color w:val="000000"/>
        </w:rPr>
        <w:t>Am Econ J Appl Econ</w:t>
      </w:r>
      <w:r>
        <w:rPr>
          <w:rFonts w:ascii="source serif 4" w:eastAsia="source serif 4" w:hAnsi="source serif 4" w:cs="source serif 4"/>
          <w:color w:val="000000"/>
        </w:rPr>
        <w:t>. 2011;3(3):221–243.</w:t>
      </w:r>
    </w:p>
    <w:p w14:paraId="64A56E89" w14:textId="77777777" w:rsidR="00D33BD0" w:rsidRDefault="00000000">
      <w:pPr>
        <w:spacing w:after="210" w:line="360" w:lineRule="auto"/>
      </w:pPr>
      <w:r>
        <w:rPr>
          <w:rFonts w:ascii="source serif 4" w:eastAsia="source serif 4" w:hAnsi="source serif 4" w:cs="source serif 4"/>
          <w:b/>
          <w:color w:val="000000"/>
        </w:rPr>
        <w:t>13.</w:t>
      </w:r>
      <w:r>
        <w:rPr>
          <w:rFonts w:ascii="source serif 4" w:eastAsia="source serif 4" w:hAnsi="source serif 4" w:cs="source serif 4"/>
          <w:color w:val="000000"/>
        </w:rPr>
        <w:t xml:space="preserve"> Cooper Z, Doyle JJ Jr., Graves J, Gruber J. Do higher-priced hospitals deliver higher-quality care? </w:t>
      </w:r>
      <w:r>
        <w:rPr>
          <w:rFonts w:ascii="source serif 4" w:eastAsia="source serif 4" w:hAnsi="source serif 4" w:cs="source serif 4"/>
          <w:i/>
          <w:color w:val="000000"/>
        </w:rPr>
        <w:t>J Polit Econ</w:t>
      </w:r>
      <w:r>
        <w:rPr>
          <w:rFonts w:ascii="source serif 4" w:eastAsia="source serif 4" w:hAnsi="source serif 4" w:cs="source serif 4"/>
          <w:color w:val="000000"/>
        </w:rPr>
        <w:t>. 2023.</w:t>
      </w:r>
    </w:p>
    <w:p w14:paraId="398E58CF" w14:textId="77777777" w:rsidR="00D33BD0" w:rsidRDefault="00000000">
      <w:pPr>
        <w:spacing w:after="210" w:line="360" w:lineRule="auto"/>
      </w:pPr>
      <w:r>
        <w:rPr>
          <w:rFonts w:ascii="source serif 4" w:eastAsia="source serif 4" w:hAnsi="source serif 4" w:cs="source serif 4"/>
          <w:b/>
          <w:color w:val="000000"/>
        </w:rPr>
        <w:t>14.</w:t>
      </w:r>
      <w:r>
        <w:rPr>
          <w:rFonts w:ascii="source serif 4" w:eastAsia="source serif 4" w:hAnsi="source serif 4" w:cs="source serif 4"/>
          <w:color w:val="000000"/>
        </w:rPr>
        <w:t xml:space="preserve"> Shrank WH, Rogstad TL, Parekh N. Waste in the US health care system: estimated costs and potential for savings. </w:t>
      </w:r>
      <w:r>
        <w:rPr>
          <w:rFonts w:ascii="source serif 4" w:eastAsia="source serif 4" w:hAnsi="source serif 4" w:cs="source serif 4"/>
          <w:i/>
          <w:color w:val="000000"/>
        </w:rPr>
        <w:t>JAMA</w:t>
      </w:r>
      <w:r>
        <w:rPr>
          <w:rFonts w:ascii="source serif 4" w:eastAsia="source serif 4" w:hAnsi="source serif 4" w:cs="source serif 4"/>
          <w:color w:val="000000"/>
        </w:rPr>
        <w:t>. 2019;322(15):1501–1509.</w:t>
      </w:r>
    </w:p>
    <w:p w14:paraId="24F1CB47" w14:textId="77777777" w:rsidR="00D33BD0" w:rsidRDefault="00000000">
      <w:pPr>
        <w:spacing w:after="210" w:line="360" w:lineRule="auto"/>
      </w:pPr>
      <w:r>
        <w:rPr>
          <w:rFonts w:ascii="source serif 4" w:eastAsia="source serif 4" w:hAnsi="source serif 4" w:cs="source serif 4"/>
          <w:b/>
          <w:color w:val="000000"/>
        </w:rPr>
        <w:t>15.</w:t>
      </w:r>
      <w:r>
        <w:rPr>
          <w:rFonts w:ascii="source serif 4" w:eastAsia="source serif 4" w:hAnsi="source serif 4" w:cs="source serif 4"/>
          <w:color w:val="000000"/>
        </w:rPr>
        <w:t xml:space="preserve"> Berwick DM, Hackbarth AD. Eliminating waste in US health care. </w:t>
      </w:r>
      <w:r>
        <w:rPr>
          <w:rFonts w:ascii="source serif 4" w:eastAsia="source serif 4" w:hAnsi="source serif 4" w:cs="source serif 4"/>
          <w:i/>
          <w:color w:val="000000"/>
        </w:rPr>
        <w:t>JAMA</w:t>
      </w:r>
      <w:r>
        <w:rPr>
          <w:rFonts w:ascii="source serif 4" w:eastAsia="source serif 4" w:hAnsi="source serif 4" w:cs="source serif 4"/>
          <w:color w:val="000000"/>
        </w:rPr>
        <w:t>. 2012;307(14):1513–1516.</w:t>
      </w:r>
    </w:p>
    <w:p w14:paraId="6B10209B" w14:textId="77777777" w:rsidR="00D33BD0" w:rsidRDefault="00000000">
      <w:pPr>
        <w:spacing w:after="210" w:line="360" w:lineRule="auto"/>
      </w:pPr>
      <w:r>
        <w:rPr>
          <w:rFonts w:ascii="source serif 4" w:eastAsia="source serif 4" w:hAnsi="source serif 4" w:cs="source serif 4"/>
          <w:b/>
          <w:color w:val="000000"/>
        </w:rPr>
        <w:t>16.</w:t>
      </w:r>
      <w:r>
        <w:rPr>
          <w:rFonts w:ascii="source serif 4" w:eastAsia="source serif 4" w:hAnsi="source serif 4" w:cs="source serif 4"/>
          <w:color w:val="000000"/>
        </w:rPr>
        <w:t xml:space="preserve"> Institute of Medicine. </w:t>
      </w:r>
      <w:r>
        <w:rPr>
          <w:rFonts w:ascii="source serif 4" w:eastAsia="source serif 4" w:hAnsi="source serif 4" w:cs="source serif 4"/>
          <w:i/>
          <w:color w:val="000000"/>
        </w:rPr>
        <w:t>Best Care at Lower Cost: The Path to Continuously Learning Health Care in America</w:t>
      </w:r>
      <w:r>
        <w:rPr>
          <w:rFonts w:ascii="source serif 4" w:eastAsia="source serif 4" w:hAnsi="source serif 4" w:cs="source serif 4"/>
          <w:color w:val="000000"/>
        </w:rPr>
        <w:t>. Washington, DC: National Academies Press; 2012.</w:t>
      </w:r>
    </w:p>
    <w:p w14:paraId="64BFD4E4" w14:textId="77777777" w:rsidR="00D33BD0" w:rsidRDefault="00000000">
      <w:pPr>
        <w:spacing w:after="210" w:line="360" w:lineRule="auto"/>
      </w:pPr>
      <w:r>
        <w:rPr>
          <w:rFonts w:ascii="source serif 4" w:eastAsia="source serif 4" w:hAnsi="source serif 4" w:cs="source serif 4"/>
          <w:b/>
          <w:color w:val="000000"/>
        </w:rPr>
        <w:t>17.</w:t>
      </w:r>
      <w:r>
        <w:rPr>
          <w:rFonts w:ascii="source serif 4" w:eastAsia="source serif 4" w:hAnsi="source serif 4" w:cs="source serif 4"/>
          <w:color w:val="000000"/>
        </w:rPr>
        <w:t xml:space="preserve"> Institute of Medicine Committee on Quality of Health Care in America. </w:t>
      </w:r>
      <w:r>
        <w:rPr>
          <w:rFonts w:ascii="source serif 4" w:eastAsia="source serif 4" w:hAnsi="source serif 4" w:cs="source serif 4"/>
          <w:i/>
          <w:color w:val="000000"/>
        </w:rPr>
        <w:t>Crossing the Quality Chasm: A New Health System for the 21st Century</w:t>
      </w:r>
      <w:r>
        <w:rPr>
          <w:rFonts w:ascii="source serif 4" w:eastAsia="source serif 4" w:hAnsi="source serif 4" w:cs="source serif 4"/>
          <w:color w:val="000000"/>
        </w:rPr>
        <w:t>. Washington, DC: National Academies Press; 2001.</w:t>
      </w:r>
    </w:p>
    <w:p w14:paraId="2E570EF6" w14:textId="77777777" w:rsidR="00D33BD0" w:rsidRDefault="00000000">
      <w:pPr>
        <w:spacing w:after="210" w:line="360" w:lineRule="auto"/>
      </w:pPr>
      <w:r>
        <w:rPr>
          <w:rFonts w:ascii="source serif 4" w:eastAsia="source serif 4" w:hAnsi="source serif 4" w:cs="source serif 4"/>
          <w:b/>
          <w:color w:val="000000"/>
        </w:rPr>
        <w:t>18.</w:t>
      </w:r>
      <w:r>
        <w:rPr>
          <w:rFonts w:ascii="source serif 4" w:eastAsia="source serif 4" w:hAnsi="source serif 4" w:cs="source serif 4"/>
          <w:color w:val="000000"/>
        </w:rPr>
        <w:t xml:space="preserve"> Porter ME, Teisberg EO. </w:t>
      </w:r>
      <w:r>
        <w:rPr>
          <w:rFonts w:ascii="source serif 4" w:eastAsia="source serif 4" w:hAnsi="source serif 4" w:cs="source serif 4"/>
          <w:i/>
          <w:color w:val="000000"/>
        </w:rPr>
        <w:t>Redefining Health Care: Creating Value-Based Competition on Results</w:t>
      </w:r>
      <w:r>
        <w:rPr>
          <w:rFonts w:ascii="source serif 4" w:eastAsia="source serif 4" w:hAnsi="source serif 4" w:cs="source serif 4"/>
          <w:color w:val="000000"/>
        </w:rPr>
        <w:t>. Boston: Harvard Business School Press; 2006.</w:t>
      </w:r>
    </w:p>
    <w:p w14:paraId="5CE5CEEE" w14:textId="77777777" w:rsidR="00D33BD0" w:rsidRDefault="00000000">
      <w:pPr>
        <w:spacing w:after="210" w:line="360" w:lineRule="auto"/>
      </w:pPr>
      <w:r>
        <w:rPr>
          <w:rFonts w:ascii="source serif 4" w:eastAsia="source serif 4" w:hAnsi="source serif 4" w:cs="source serif 4"/>
          <w:b/>
          <w:color w:val="000000"/>
        </w:rPr>
        <w:t>19.</w:t>
      </w:r>
      <w:r>
        <w:rPr>
          <w:rFonts w:ascii="source serif 4" w:eastAsia="source serif 4" w:hAnsi="source serif 4" w:cs="source serif 4"/>
          <w:color w:val="000000"/>
        </w:rPr>
        <w:t xml:space="preserve"> Porter ME. What is value in health care? </w:t>
      </w:r>
      <w:r>
        <w:rPr>
          <w:rFonts w:ascii="source serif 4" w:eastAsia="source serif 4" w:hAnsi="source serif 4" w:cs="source serif 4"/>
          <w:i/>
          <w:color w:val="000000"/>
        </w:rPr>
        <w:t>N Engl J Med</w:t>
      </w:r>
      <w:r>
        <w:rPr>
          <w:rFonts w:ascii="source serif 4" w:eastAsia="source serif 4" w:hAnsi="source serif 4" w:cs="source serif 4"/>
          <w:color w:val="000000"/>
        </w:rPr>
        <w:t>. 2010;363(26):2477–2481.</w:t>
      </w:r>
    </w:p>
    <w:p w14:paraId="774058F3" w14:textId="77777777" w:rsidR="00D33BD0" w:rsidRDefault="00000000">
      <w:pPr>
        <w:spacing w:after="210" w:line="360" w:lineRule="auto"/>
      </w:pPr>
      <w:r>
        <w:rPr>
          <w:rFonts w:ascii="source serif 4" w:eastAsia="source serif 4" w:hAnsi="source serif 4" w:cs="source serif 4"/>
          <w:b/>
          <w:color w:val="000000"/>
        </w:rPr>
        <w:t>20.</w:t>
      </w:r>
      <w:r>
        <w:rPr>
          <w:rFonts w:ascii="source serif 4" w:eastAsia="source serif 4" w:hAnsi="source serif 4" w:cs="source serif 4"/>
          <w:color w:val="000000"/>
        </w:rPr>
        <w:t xml:space="preserve"> Kaplan RS, Porter ME. How to solve the cost crisis in health care. </w:t>
      </w:r>
      <w:r>
        <w:rPr>
          <w:rFonts w:ascii="source serif 4" w:eastAsia="source serif 4" w:hAnsi="source serif 4" w:cs="source serif 4"/>
          <w:i/>
          <w:color w:val="000000"/>
        </w:rPr>
        <w:t>Harv Bus Rev</w:t>
      </w:r>
      <w:r>
        <w:rPr>
          <w:rFonts w:ascii="source serif 4" w:eastAsia="source serif 4" w:hAnsi="source serif 4" w:cs="source serif 4"/>
          <w:color w:val="000000"/>
        </w:rPr>
        <w:t>. 2011;89(9):46–52.</w:t>
      </w:r>
    </w:p>
    <w:p w14:paraId="7AA14FF8" w14:textId="77777777" w:rsidR="00D33BD0" w:rsidRDefault="00000000">
      <w:pPr>
        <w:spacing w:after="210" w:line="360" w:lineRule="auto"/>
      </w:pPr>
      <w:r>
        <w:rPr>
          <w:rFonts w:ascii="source serif 4" w:eastAsia="source serif 4" w:hAnsi="source serif 4" w:cs="source serif 4"/>
          <w:b/>
          <w:color w:val="000000"/>
        </w:rPr>
        <w:t>21.</w:t>
      </w:r>
      <w:r>
        <w:rPr>
          <w:rFonts w:ascii="source serif 4" w:eastAsia="source serif 4" w:hAnsi="source serif 4" w:cs="source serif 4"/>
          <w:color w:val="000000"/>
        </w:rPr>
        <w:t xml:space="preserve"> The Dartmouth Atlas of Health Care. Lebanon, NH: The Dartmouth Institute for Health Policy and Clinical Practice; 1993–2019. Available at: </w:t>
      </w:r>
      <w:hyperlink r:id="rId5">
        <w:r>
          <w:rPr>
            <w:rFonts w:ascii="source sans 3" w:eastAsia="source sans 3" w:hAnsi="source sans 3" w:cs="source sans 3"/>
            <w:u w:val="single"/>
          </w:rPr>
          <w:t>https://www.dartmouthatlas.org</w:t>
        </w:r>
      </w:hyperlink>
      <w:r>
        <w:rPr>
          <w:rFonts w:ascii="source serif 4" w:eastAsia="source serif 4" w:hAnsi="source serif 4" w:cs="source serif 4"/>
          <w:color w:val="000000"/>
        </w:rPr>
        <w:t>.</w:t>
      </w:r>
    </w:p>
    <w:p w14:paraId="1985DA4D" w14:textId="77777777" w:rsidR="00D33BD0" w:rsidRDefault="00000000">
      <w:pPr>
        <w:spacing w:after="210" w:line="360" w:lineRule="auto"/>
      </w:pPr>
      <w:r>
        <w:rPr>
          <w:rFonts w:ascii="source serif 4" w:eastAsia="source serif 4" w:hAnsi="source serif 4" w:cs="source serif 4"/>
          <w:b/>
          <w:color w:val="000000"/>
        </w:rPr>
        <w:lastRenderedPageBreak/>
        <w:t>22.</w:t>
      </w:r>
      <w:r>
        <w:rPr>
          <w:rFonts w:ascii="source serif 4" w:eastAsia="source serif 4" w:hAnsi="source serif 4" w:cs="source serif 4"/>
          <w:color w:val="000000"/>
        </w:rPr>
        <w:t xml:space="preserve"> Wennberg J, Gittelsohn A. Small area variations in health care delivery. </w:t>
      </w:r>
      <w:r>
        <w:rPr>
          <w:rFonts w:ascii="source serif 4" w:eastAsia="source serif 4" w:hAnsi="source serif 4" w:cs="source serif 4"/>
          <w:i/>
          <w:color w:val="000000"/>
        </w:rPr>
        <w:t>Science</w:t>
      </w:r>
      <w:r>
        <w:rPr>
          <w:rFonts w:ascii="source serif 4" w:eastAsia="source serif 4" w:hAnsi="source serif 4" w:cs="source serif 4"/>
          <w:color w:val="000000"/>
        </w:rPr>
        <w:t>. 1973;182(4117):1102–1108.</w:t>
      </w:r>
    </w:p>
    <w:p w14:paraId="3F148388" w14:textId="77777777" w:rsidR="00D33BD0" w:rsidRDefault="00000000">
      <w:pPr>
        <w:spacing w:after="210" w:line="360" w:lineRule="auto"/>
      </w:pPr>
      <w:r>
        <w:rPr>
          <w:rFonts w:ascii="source serif 4" w:eastAsia="source serif 4" w:hAnsi="source serif 4" w:cs="source serif 4"/>
          <w:b/>
          <w:color w:val="000000"/>
        </w:rPr>
        <w:t>23.</w:t>
      </w:r>
      <w:r>
        <w:rPr>
          <w:rFonts w:ascii="source serif 4" w:eastAsia="source serif 4" w:hAnsi="source serif 4" w:cs="source serif 4"/>
          <w:color w:val="000000"/>
        </w:rPr>
        <w:t xml:space="preserve"> Finkelstein A, Gentzkow M, Williams H. Sources of geographic variation in health care: evidence from patient migration. </w:t>
      </w:r>
      <w:r>
        <w:rPr>
          <w:rFonts w:ascii="source serif 4" w:eastAsia="source serif 4" w:hAnsi="source serif 4" w:cs="source serif 4"/>
          <w:i/>
          <w:color w:val="000000"/>
        </w:rPr>
        <w:t>Q J Econ</w:t>
      </w:r>
      <w:r>
        <w:rPr>
          <w:rFonts w:ascii="source serif 4" w:eastAsia="source serif 4" w:hAnsi="source serif 4" w:cs="source serif 4"/>
          <w:color w:val="000000"/>
        </w:rPr>
        <w:t>. 2016;131(4):1681–1726.</w:t>
      </w:r>
    </w:p>
    <w:p w14:paraId="1106BDCB" w14:textId="77777777" w:rsidR="00D33BD0" w:rsidRDefault="00000000">
      <w:pPr>
        <w:spacing w:after="210" w:line="360" w:lineRule="auto"/>
      </w:pPr>
      <w:r>
        <w:rPr>
          <w:rFonts w:ascii="source serif 4" w:eastAsia="source serif 4" w:hAnsi="source serif 4" w:cs="source serif 4"/>
          <w:b/>
          <w:color w:val="000000"/>
        </w:rPr>
        <w:t>24.</w:t>
      </w:r>
      <w:r>
        <w:rPr>
          <w:rFonts w:ascii="source serif 4" w:eastAsia="source serif 4" w:hAnsi="source serif 4" w:cs="source serif 4"/>
          <w:color w:val="000000"/>
        </w:rPr>
        <w:t xml:space="preserve"> Badinski I, Finkelstein A, Gentzkow M, Hull P, Williams H. Geographic variation in healthcare utilization: the role of physicians. NBER Working Paper; 2023.</w:t>
      </w:r>
    </w:p>
    <w:p w14:paraId="4AABCFDD" w14:textId="77777777" w:rsidR="00D33BD0" w:rsidRDefault="00000000">
      <w:pPr>
        <w:spacing w:after="210" w:line="360" w:lineRule="auto"/>
      </w:pPr>
      <w:r>
        <w:rPr>
          <w:rFonts w:ascii="source serif 4" w:eastAsia="source serif 4" w:hAnsi="source serif 4" w:cs="source serif 4"/>
          <w:b/>
          <w:color w:val="000000"/>
        </w:rPr>
        <w:t>25.</w:t>
      </w:r>
      <w:r>
        <w:rPr>
          <w:rFonts w:ascii="source serif 4" w:eastAsia="source serif 4" w:hAnsi="source serif 4" w:cs="source serif 4"/>
          <w:color w:val="000000"/>
        </w:rPr>
        <w:t xml:space="preserve"> Cutler D, Skinner JS, Stern AD, Wennberg D. Physician beliefs and patient preferences: a new look at regional variation in health care spending. </w:t>
      </w:r>
      <w:r>
        <w:rPr>
          <w:rFonts w:ascii="source serif 4" w:eastAsia="source serif 4" w:hAnsi="source serif 4" w:cs="source serif 4"/>
          <w:i/>
          <w:color w:val="000000"/>
        </w:rPr>
        <w:t>Am Econ J Econ Policy</w:t>
      </w:r>
      <w:r>
        <w:rPr>
          <w:rFonts w:ascii="source serif 4" w:eastAsia="source serif 4" w:hAnsi="source serif 4" w:cs="source serif 4"/>
          <w:color w:val="000000"/>
        </w:rPr>
        <w:t>. 2019;11(1):192–221.</w:t>
      </w:r>
    </w:p>
    <w:p w14:paraId="3C523730" w14:textId="77777777" w:rsidR="00D33BD0" w:rsidRDefault="00000000">
      <w:pPr>
        <w:spacing w:after="210" w:line="360" w:lineRule="auto"/>
      </w:pPr>
      <w:r>
        <w:rPr>
          <w:rFonts w:ascii="source serif 4" w:eastAsia="source serif 4" w:hAnsi="source serif 4" w:cs="source serif 4"/>
          <w:b/>
          <w:color w:val="000000"/>
        </w:rPr>
        <w:t>26.</w:t>
      </w:r>
      <w:r>
        <w:rPr>
          <w:rFonts w:ascii="source serif 4" w:eastAsia="source serif 4" w:hAnsi="source serif 4" w:cs="source serif 4"/>
          <w:color w:val="000000"/>
        </w:rPr>
        <w:t xml:space="preserve"> Finkelstein A, Gentzkow M, Williams H. Primary care physician practice styles and patient care. NBER Working Paper 26269; 2020.</w:t>
      </w:r>
    </w:p>
    <w:p w14:paraId="391C077A" w14:textId="77777777" w:rsidR="00D33BD0" w:rsidRDefault="00000000">
      <w:pPr>
        <w:spacing w:after="210" w:line="360" w:lineRule="auto"/>
      </w:pPr>
      <w:r>
        <w:rPr>
          <w:rFonts w:ascii="source serif 4" w:eastAsia="source serif 4" w:hAnsi="source serif 4" w:cs="source serif 4"/>
          <w:b/>
          <w:color w:val="000000"/>
        </w:rPr>
        <w:t>27.</w:t>
      </w:r>
      <w:r>
        <w:rPr>
          <w:rFonts w:ascii="source serif 4" w:eastAsia="source serif 4" w:hAnsi="source serif 4" w:cs="source serif 4"/>
          <w:color w:val="000000"/>
        </w:rPr>
        <w:t xml:space="preserve"> Van Parys J. Variation in physician practice styles within and across emergency departments. </w:t>
      </w:r>
      <w:r>
        <w:rPr>
          <w:rFonts w:ascii="source serif 4" w:eastAsia="source serif 4" w:hAnsi="source serif 4" w:cs="source serif 4"/>
          <w:i/>
          <w:color w:val="000000"/>
        </w:rPr>
        <w:t>PLoS ONE</w:t>
      </w:r>
      <w:r>
        <w:rPr>
          <w:rFonts w:ascii="source serif 4" w:eastAsia="source serif 4" w:hAnsi="source serif 4" w:cs="source serif 4"/>
          <w:color w:val="000000"/>
        </w:rPr>
        <w:t>. 2016;11(8):e0159882.</w:t>
      </w:r>
    </w:p>
    <w:p w14:paraId="0357A166" w14:textId="77777777" w:rsidR="00D33BD0" w:rsidRDefault="00000000">
      <w:pPr>
        <w:spacing w:after="210" w:line="360" w:lineRule="auto"/>
      </w:pPr>
      <w:r>
        <w:rPr>
          <w:rFonts w:ascii="source serif 4" w:eastAsia="source serif 4" w:hAnsi="source serif 4" w:cs="source serif 4"/>
          <w:b/>
          <w:color w:val="000000"/>
        </w:rPr>
        <w:t>28.</w:t>
      </w:r>
      <w:r>
        <w:rPr>
          <w:rFonts w:ascii="source serif 4" w:eastAsia="source serif 4" w:hAnsi="source serif 4" w:cs="source serif 4"/>
          <w:color w:val="000000"/>
        </w:rPr>
        <w:t xml:space="preserve"> Molitor D. The evolution of physician practice styles: evidence from cardiologist migration. </w:t>
      </w:r>
      <w:r>
        <w:rPr>
          <w:rFonts w:ascii="source serif 4" w:eastAsia="source serif 4" w:hAnsi="source serif 4" w:cs="source serif 4"/>
          <w:i/>
          <w:color w:val="000000"/>
        </w:rPr>
        <w:t>Am Econ J Econ Policy</w:t>
      </w:r>
      <w:r>
        <w:rPr>
          <w:rFonts w:ascii="source serif 4" w:eastAsia="source serif 4" w:hAnsi="source serif 4" w:cs="source serif 4"/>
          <w:color w:val="000000"/>
        </w:rPr>
        <w:t>. 2018;10(1):326–356.</w:t>
      </w:r>
    </w:p>
    <w:p w14:paraId="53D783DF" w14:textId="77777777" w:rsidR="00D33BD0" w:rsidRDefault="00000000">
      <w:pPr>
        <w:spacing w:after="210" w:line="360" w:lineRule="auto"/>
      </w:pPr>
      <w:r>
        <w:rPr>
          <w:rFonts w:ascii="source serif 4" w:eastAsia="source serif 4" w:hAnsi="source serif 4" w:cs="source serif 4"/>
          <w:b/>
          <w:color w:val="000000"/>
        </w:rPr>
        <w:t>29.</w:t>
      </w:r>
      <w:r>
        <w:rPr>
          <w:rFonts w:ascii="source serif 4" w:eastAsia="source serif 4" w:hAnsi="source serif 4" w:cs="source serif 4"/>
          <w:color w:val="000000"/>
        </w:rPr>
        <w:t xml:space="preserve"> Van Parys J, Skinner J. Physician practice style variation—implications for policy. </w:t>
      </w:r>
      <w:r>
        <w:rPr>
          <w:rFonts w:ascii="source serif 4" w:eastAsia="source serif 4" w:hAnsi="source serif 4" w:cs="source serif 4"/>
          <w:i/>
          <w:color w:val="000000"/>
        </w:rPr>
        <w:t>JAMA Intern Med</w:t>
      </w:r>
      <w:r>
        <w:rPr>
          <w:rFonts w:ascii="source serif 4" w:eastAsia="source serif 4" w:hAnsi="source serif 4" w:cs="source serif 4"/>
          <w:color w:val="000000"/>
        </w:rPr>
        <w:t>. 2016;176(10):1549–1550.</w:t>
      </w:r>
    </w:p>
    <w:p w14:paraId="0DEAD63C" w14:textId="77777777" w:rsidR="00D33BD0" w:rsidRDefault="00000000">
      <w:pPr>
        <w:spacing w:after="210" w:line="360" w:lineRule="auto"/>
      </w:pPr>
      <w:r>
        <w:rPr>
          <w:rFonts w:ascii="source serif 4" w:eastAsia="source serif 4" w:hAnsi="source serif 4" w:cs="source serif 4"/>
          <w:b/>
          <w:color w:val="000000"/>
        </w:rPr>
        <w:t>30.</w:t>
      </w:r>
      <w:r>
        <w:rPr>
          <w:rFonts w:ascii="source serif 4" w:eastAsia="source serif 4" w:hAnsi="source serif 4" w:cs="source serif 4"/>
          <w:color w:val="000000"/>
        </w:rPr>
        <w:t xml:space="preserve"> Currie J, MacLeod WB. First do no harm? Doctor decision making and patient outcomes. NBER Working Paper 32788; 2024.</w:t>
      </w:r>
    </w:p>
    <w:p w14:paraId="05297592" w14:textId="77777777" w:rsidR="00D33BD0" w:rsidRDefault="00000000">
      <w:pPr>
        <w:spacing w:after="210" w:line="360" w:lineRule="auto"/>
      </w:pPr>
      <w:r>
        <w:rPr>
          <w:rFonts w:ascii="source serif 4" w:eastAsia="source serif 4" w:hAnsi="source serif 4" w:cs="source serif 4"/>
          <w:b/>
          <w:color w:val="000000"/>
        </w:rPr>
        <w:t>31.</w:t>
      </w:r>
      <w:r>
        <w:rPr>
          <w:rFonts w:ascii="source serif 4" w:eastAsia="source serif 4" w:hAnsi="source serif 4" w:cs="source serif 4"/>
          <w:color w:val="000000"/>
        </w:rPr>
        <w:t xml:space="preserve"> Johnson EM, Rehavi MM. Physicians treating physicians: information and incentives in childbirth. </w:t>
      </w:r>
      <w:r>
        <w:rPr>
          <w:rFonts w:ascii="source serif 4" w:eastAsia="source serif 4" w:hAnsi="source serif 4" w:cs="source serif 4"/>
          <w:i/>
          <w:color w:val="000000"/>
        </w:rPr>
        <w:t>Am Econ J Econ Policy</w:t>
      </w:r>
      <w:r>
        <w:rPr>
          <w:rFonts w:ascii="source serif 4" w:eastAsia="source serif 4" w:hAnsi="source serif 4" w:cs="source serif 4"/>
          <w:color w:val="000000"/>
        </w:rPr>
        <w:t>. 2016;8(1):115–141.</w:t>
      </w:r>
    </w:p>
    <w:p w14:paraId="2290173E" w14:textId="77777777" w:rsidR="00D33BD0" w:rsidRDefault="00000000">
      <w:pPr>
        <w:spacing w:after="210" w:line="360" w:lineRule="auto"/>
      </w:pPr>
      <w:r>
        <w:rPr>
          <w:rFonts w:ascii="source serif 4" w:eastAsia="source serif 4" w:hAnsi="source serif 4" w:cs="source serif 4"/>
          <w:b/>
          <w:color w:val="000000"/>
        </w:rPr>
        <w:t>32.</w:t>
      </w:r>
      <w:r>
        <w:rPr>
          <w:rFonts w:ascii="source serif 4" w:eastAsia="source serif 4" w:hAnsi="source serif 4" w:cs="source serif 4"/>
          <w:color w:val="000000"/>
        </w:rPr>
        <w:t xml:space="preserve"> Evaluation of hospital cesarean delivery–related profits and rates in the United States. </w:t>
      </w:r>
      <w:r>
        <w:rPr>
          <w:rFonts w:ascii="source serif 4" w:eastAsia="source serif 4" w:hAnsi="source serif 4" w:cs="source serif 4"/>
          <w:i/>
          <w:color w:val="000000"/>
        </w:rPr>
        <w:t>JAMA Netw Open</w:t>
      </w:r>
      <w:r>
        <w:rPr>
          <w:rFonts w:ascii="source serif 4" w:eastAsia="source serif 4" w:hAnsi="source serif 4" w:cs="source serif 4"/>
          <w:color w:val="000000"/>
        </w:rPr>
        <w:t>. 2021;4(3):e212235.</w:t>
      </w:r>
    </w:p>
    <w:p w14:paraId="0CD857A7" w14:textId="77777777" w:rsidR="00D33BD0" w:rsidRDefault="00000000">
      <w:pPr>
        <w:spacing w:after="210" w:line="360" w:lineRule="auto"/>
      </w:pPr>
      <w:r>
        <w:rPr>
          <w:rFonts w:ascii="source serif 4" w:eastAsia="source serif 4" w:hAnsi="source serif 4" w:cs="source serif 4"/>
          <w:b/>
          <w:color w:val="000000"/>
        </w:rPr>
        <w:t>33.</w:t>
      </w:r>
      <w:r>
        <w:rPr>
          <w:rFonts w:ascii="source serif 4" w:eastAsia="source serif 4" w:hAnsi="source serif 4" w:cs="source serif 4"/>
          <w:color w:val="000000"/>
        </w:rPr>
        <w:t xml:space="preserve"> Lown Institute. Unnecessary back surgeries cost Medicare up to $2 billion: a three-year analysis of Medicare claims. Needham, MA: Lown Institute; 2025.</w:t>
      </w:r>
    </w:p>
    <w:p w14:paraId="62A768FF" w14:textId="77777777" w:rsidR="00D33BD0" w:rsidRDefault="00000000">
      <w:pPr>
        <w:spacing w:after="210" w:line="360" w:lineRule="auto"/>
      </w:pPr>
      <w:r>
        <w:rPr>
          <w:rFonts w:ascii="source serif 4" w:eastAsia="source serif 4" w:hAnsi="source serif 4" w:cs="source serif 4"/>
          <w:b/>
          <w:color w:val="000000"/>
        </w:rPr>
        <w:t>34.</w:t>
      </w:r>
      <w:r>
        <w:rPr>
          <w:rFonts w:ascii="source serif 4" w:eastAsia="source serif 4" w:hAnsi="source serif 4" w:cs="source serif 4"/>
          <w:color w:val="000000"/>
        </w:rPr>
        <w:t xml:space="preserve"> Baker LC, Bundorf MK, Kessler DP. Patients' preferences explain a small but significant share of regional variation in Medicare spending. </w:t>
      </w:r>
      <w:r>
        <w:rPr>
          <w:rFonts w:ascii="source serif 4" w:eastAsia="source serif 4" w:hAnsi="source serif 4" w:cs="source serif 4"/>
          <w:i/>
          <w:color w:val="000000"/>
        </w:rPr>
        <w:t>Health Aff (Millwood)</w:t>
      </w:r>
      <w:r>
        <w:rPr>
          <w:rFonts w:ascii="source serif 4" w:eastAsia="source serif 4" w:hAnsi="source serif 4" w:cs="source serif 4"/>
          <w:color w:val="000000"/>
        </w:rPr>
        <w:t>. 2014;33(6):957–963.</w:t>
      </w:r>
    </w:p>
    <w:p w14:paraId="4B73FBD7" w14:textId="77777777" w:rsidR="00D33BD0" w:rsidRDefault="00000000">
      <w:pPr>
        <w:spacing w:after="210" w:line="360" w:lineRule="auto"/>
      </w:pPr>
      <w:r>
        <w:rPr>
          <w:rFonts w:ascii="source serif 4" w:eastAsia="source serif 4" w:hAnsi="source serif 4" w:cs="source serif 4"/>
          <w:b/>
          <w:color w:val="000000"/>
        </w:rPr>
        <w:t>35.</w:t>
      </w:r>
      <w:r>
        <w:rPr>
          <w:rFonts w:ascii="source serif 4" w:eastAsia="source serif 4" w:hAnsi="source serif 4" w:cs="source serif 4"/>
          <w:color w:val="000000"/>
        </w:rPr>
        <w:t xml:space="preserve"> Brown TT, Hurley VB. Shared decision-making and health care expenditures: evidence from a national study, 2003–2017. University of California, Berkeley / Georgetown University; 2023.</w:t>
      </w:r>
    </w:p>
    <w:p w14:paraId="3B9154F3" w14:textId="77777777" w:rsidR="00D33BD0" w:rsidRDefault="00000000">
      <w:pPr>
        <w:spacing w:after="210" w:line="360" w:lineRule="auto"/>
      </w:pPr>
      <w:r>
        <w:rPr>
          <w:rFonts w:ascii="source serif 4" w:eastAsia="source serif 4" w:hAnsi="source serif 4" w:cs="source serif 4"/>
          <w:b/>
          <w:color w:val="000000"/>
        </w:rPr>
        <w:lastRenderedPageBreak/>
        <w:t>36.</w:t>
      </w:r>
      <w:r>
        <w:rPr>
          <w:rFonts w:ascii="source serif 4" w:eastAsia="source serif 4" w:hAnsi="source serif 4" w:cs="source serif 4"/>
          <w:color w:val="000000"/>
        </w:rPr>
        <w:t xml:space="preserve"> Trends in decompression and fusion procedures for patients with lumbar stenosis and degenerative spondylolisthesis, 2016–2019. </w:t>
      </w:r>
      <w:r>
        <w:rPr>
          <w:rFonts w:ascii="source serif 4" w:eastAsia="source serif 4" w:hAnsi="source serif 4" w:cs="source serif 4"/>
          <w:i/>
          <w:color w:val="000000"/>
        </w:rPr>
        <w:t>JAMA Netw Open</w:t>
      </w:r>
      <w:r>
        <w:rPr>
          <w:rFonts w:ascii="source serif 4" w:eastAsia="source serif 4" w:hAnsi="source serif 4" w:cs="source serif 4"/>
          <w:color w:val="000000"/>
        </w:rPr>
        <w:t>. 2023.</w:t>
      </w:r>
    </w:p>
    <w:p w14:paraId="5174D30E" w14:textId="77777777" w:rsidR="00D33BD0" w:rsidRDefault="00000000">
      <w:pPr>
        <w:spacing w:after="210" w:line="360" w:lineRule="auto"/>
      </w:pPr>
      <w:r>
        <w:rPr>
          <w:rFonts w:ascii="source serif 4" w:eastAsia="source serif 4" w:hAnsi="source serif 4" w:cs="source serif 4"/>
          <w:b/>
          <w:color w:val="000000"/>
        </w:rPr>
        <w:t>37.</w:t>
      </w:r>
      <w:r>
        <w:rPr>
          <w:rFonts w:ascii="source serif 4" w:eastAsia="source serif 4" w:hAnsi="source serif 4" w:cs="source serif 4"/>
          <w:color w:val="000000"/>
        </w:rPr>
        <w:t xml:space="preserve"> Alvin MD, Lubelski D, Alam R, et al. Spine surgeon treatment variability: the impact on costs. </w:t>
      </w:r>
      <w:r>
        <w:rPr>
          <w:rFonts w:ascii="source serif 4" w:eastAsia="source serif 4" w:hAnsi="source serif 4" w:cs="source serif 4"/>
          <w:i/>
          <w:color w:val="000000"/>
        </w:rPr>
        <w:t>Global Spine J</w:t>
      </w:r>
      <w:r>
        <w:rPr>
          <w:rFonts w:ascii="source serif 4" w:eastAsia="source serif 4" w:hAnsi="source serif 4" w:cs="source serif 4"/>
          <w:color w:val="000000"/>
        </w:rPr>
        <w:t>. 2018;8(5):498–506.</w:t>
      </w:r>
    </w:p>
    <w:p w14:paraId="09D1A5B1" w14:textId="77777777" w:rsidR="00D33BD0" w:rsidRDefault="00000000">
      <w:pPr>
        <w:spacing w:after="210" w:line="360" w:lineRule="auto"/>
      </w:pPr>
      <w:r>
        <w:rPr>
          <w:rFonts w:ascii="source serif 4" w:eastAsia="source serif 4" w:hAnsi="source serif 4" w:cs="source serif 4"/>
          <w:b/>
          <w:color w:val="000000"/>
        </w:rPr>
        <w:t>38.</w:t>
      </w:r>
      <w:r>
        <w:rPr>
          <w:rFonts w:ascii="source serif 4" w:eastAsia="source serif 4" w:hAnsi="source serif 4" w:cs="source serif 4"/>
          <w:color w:val="000000"/>
        </w:rPr>
        <w:t xml:space="preserve"> Haas DA, Kaplan RS, et al. Variability in costs associated with total hip and knee replacement implants. </w:t>
      </w:r>
      <w:r>
        <w:rPr>
          <w:rFonts w:ascii="source serif 4" w:eastAsia="source serif 4" w:hAnsi="source serif 4" w:cs="source serif 4"/>
          <w:i/>
          <w:color w:val="000000"/>
        </w:rPr>
        <w:t>J Bone Joint Surg / Med Care</w:t>
      </w:r>
      <w:r>
        <w:rPr>
          <w:rFonts w:ascii="source serif 4" w:eastAsia="source serif 4" w:hAnsi="source serif 4" w:cs="source serif 4"/>
          <w:color w:val="000000"/>
        </w:rPr>
        <w:t>. 2012.</w:t>
      </w:r>
    </w:p>
    <w:p w14:paraId="4ACE3677" w14:textId="77777777" w:rsidR="00D33BD0" w:rsidRDefault="00000000">
      <w:pPr>
        <w:spacing w:after="210" w:line="360" w:lineRule="auto"/>
      </w:pPr>
      <w:r>
        <w:rPr>
          <w:rFonts w:ascii="source serif 4" w:eastAsia="source serif 4" w:hAnsi="source serif 4" w:cs="source serif 4"/>
          <w:b/>
          <w:color w:val="000000"/>
        </w:rPr>
        <w:t>39.</w:t>
      </w:r>
      <w:r>
        <w:rPr>
          <w:rFonts w:ascii="source serif 4" w:eastAsia="source serif 4" w:hAnsi="source serif 4" w:cs="source serif 4"/>
          <w:color w:val="000000"/>
        </w:rPr>
        <w:t xml:space="preserve"> Variation in the cost of care for primary total knee arthroplasties across high-volume US hospitals. </w:t>
      </w:r>
      <w:r>
        <w:rPr>
          <w:rFonts w:ascii="source serif 4" w:eastAsia="source serif 4" w:hAnsi="source serif 4" w:cs="source serif 4"/>
          <w:i/>
          <w:color w:val="000000"/>
        </w:rPr>
        <w:t>Arthroplasty Today / J Arthroplasty</w:t>
      </w:r>
      <w:r>
        <w:rPr>
          <w:rFonts w:ascii="source serif 4" w:eastAsia="source serif 4" w:hAnsi="source serif 4" w:cs="source serif 4"/>
          <w:color w:val="000000"/>
        </w:rPr>
        <w:t>. 2017.</w:t>
      </w:r>
    </w:p>
    <w:p w14:paraId="640C51CA" w14:textId="77777777" w:rsidR="00D33BD0" w:rsidRDefault="00000000">
      <w:pPr>
        <w:spacing w:after="210" w:line="360" w:lineRule="auto"/>
      </w:pPr>
      <w:r>
        <w:rPr>
          <w:rFonts w:ascii="source serif 4" w:eastAsia="source serif 4" w:hAnsi="source serif 4" w:cs="source serif 4"/>
          <w:b/>
          <w:color w:val="000000"/>
        </w:rPr>
        <w:t>40.</w:t>
      </w:r>
      <w:r>
        <w:rPr>
          <w:rFonts w:ascii="source serif 4" w:eastAsia="source serif 4" w:hAnsi="source serif 4" w:cs="source serif 4"/>
          <w:color w:val="000000"/>
        </w:rPr>
        <w:t xml:space="preserve"> Weintraub WS, Boden WE, et al. Cost-effectiveness of percutaneous coronary intervention versus optimal medical therapy for stable coronary artery disease (COURAGE economic substudy). </w:t>
      </w:r>
      <w:r>
        <w:rPr>
          <w:rFonts w:ascii="source serif 4" w:eastAsia="source serif 4" w:hAnsi="source serif 4" w:cs="source serif 4"/>
          <w:i/>
          <w:color w:val="000000"/>
        </w:rPr>
        <w:t>N Engl J Med / Circulation</w:t>
      </w:r>
      <w:r>
        <w:rPr>
          <w:rFonts w:ascii="source serif 4" w:eastAsia="source serif 4" w:hAnsi="source serif 4" w:cs="source serif 4"/>
          <w:color w:val="000000"/>
        </w:rPr>
        <w:t>. 2008.</w:t>
      </w:r>
    </w:p>
    <w:p w14:paraId="47AA9510" w14:textId="77777777" w:rsidR="00D33BD0" w:rsidRDefault="00000000">
      <w:pPr>
        <w:spacing w:after="210" w:line="360" w:lineRule="auto"/>
      </w:pPr>
      <w:r>
        <w:rPr>
          <w:rFonts w:ascii="source serif 4" w:eastAsia="source serif 4" w:hAnsi="source serif 4" w:cs="source serif 4"/>
          <w:b/>
          <w:color w:val="000000"/>
        </w:rPr>
        <w:t>41.</w:t>
      </w:r>
      <w:r>
        <w:rPr>
          <w:rFonts w:ascii="source serif 4" w:eastAsia="source serif 4" w:hAnsi="source serif 4" w:cs="source serif 4"/>
          <w:color w:val="000000"/>
        </w:rPr>
        <w:t xml:space="preserve"> Physician treatment preferences in rheumatoid arthritis of differing disease severity and activity: the impact of cost on first-line therapy. </w:t>
      </w:r>
      <w:r>
        <w:rPr>
          <w:rFonts w:ascii="source serif 4" w:eastAsia="source serif 4" w:hAnsi="source serif 4" w:cs="source serif 4"/>
          <w:i/>
          <w:color w:val="000000"/>
        </w:rPr>
        <w:t>Arthritis Care Res</w:t>
      </w:r>
      <w:r>
        <w:rPr>
          <w:rFonts w:ascii="source serif 4" w:eastAsia="source serif 4" w:hAnsi="source serif 4" w:cs="source serif 4"/>
          <w:color w:val="000000"/>
        </w:rPr>
        <w:t>.</w:t>
      </w:r>
    </w:p>
    <w:p w14:paraId="7625691E" w14:textId="77777777" w:rsidR="00D33BD0" w:rsidRDefault="00000000">
      <w:pPr>
        <w:spacing w:after="210" w:line="360" w:lineRule="auto"/>
      </w:pPr>
      <w:r>
        <w:rPr>
          <w:rFonts w:ascii="source serif 4" w:eastAsia="source serif 4" w:hAnsi="source serif 4" w:cs="source serif 4"/>
          <w:b/>
          <w:color w:val="000000"/>
        </w:rPr>
        <w:t>42.</w:t>
      </w:r>
      <w:r>
        <w:rPr>
          <w:rFonts w:ascii="source serif 4" w:eastAsia="source serif 4" w:hAnsi="source serif 4" w:cs="source serif 4"/>
          <w:color w:val="000000"/>
        </w:rPr>
        <w:t xml:space="preserve"> Geographic variation in the rate and route of hysterectomy for benign disease in the United States. </w:t>
      </w:r>
      <w:r>
        <w:rPr>
          <w:rFonts w:ascii="source serif 4" w:eastAsia="source serif 4" w:hAnsi="source serif 4" w:cs="source serif 4"/>
          <w:i/>
          <w:color w:val="000000"/>
        </w:rPr>
        <w:t>Am J Obstet Gynecol</w:t>
      </w:r>
      <w:r>
        <w:rPr>
          <w:rFonts w:ascii="source serif 4" w:eastAsia="source serif 4" w:hAnsi="source serif 4" w:cs="source serif 4"/>
          <w:color w:val="000000"/>
        </w:rPr>
        <w:t>.</w:t>
      </w:r>
    </w:p>
    <w:p w14:paraId="143E89BB" w14:textId="77777777" w:rsidR="00D33BD0" w:rsidRDefault="00000000">
      <w:pPr>
        <w:spacing w:after="210" w:line="360" w:lineRule="auto"/>
      </w:pPr>
      <w:r>
        <w:rPr>
          <w:rFonts w:ascii="source serif 4" w:eastAsia="source serif 4" w:hAnsi="source serif 4" w:cs="source serif 4"/>
          <w:b/>
          <w:color w:val="000000"/>
        </w:rPr>
        <w:t>43.</w:t>
      </w:r>
      <w:r>
        <w:rPr>
          <w:rFonts w:ascii="source serif 4" w:eastAsia="source serif 4" w:hAnsi="source serif 4" w:cs="source serif 4"/>
          <w:color w:val="000000"/>
        </w:rPr>
        <w:t xml:space="preserve"> RAND Corporation. Prices paid to hospitals by private health plans: findings from Round 5 of an employer-led transparency initiative. RR-A1144-2. Santa Monica, CA: RAND; 2024.</w:t>
      </w:r>
    </w:p>
    <w:p w14:paraId="3E3678B7" w14:textId="77777777" w:rsidR="00D33BD0" w:rsidRDefault="00000000">
      <w:pPr>
        <w:spacing w:after="210" w:line="360" w:lineRule="auto"/>
      </w:pPr>
      <w:r>
        <w:rPr>
          <w:rFonts w:ascii="source serif 4" w:eastAsia="source serif 4" w:hAnsi="source serif 4" w:cs="source serif 4"/>
          <w:b/>
          <w:color w:val="000000"/>
        </w:rPr>
        <w:t>44.</w:t>
      </w:r>
      <w:r>
        <w:rPr>
          <w:rFonts w:ascii="source serif 4" w:eastAsia="source serif 4" w:hAnsi="source serif 4" w:cs="source serif 4"/>
          <w:color w:val="000000"/>
        </w:rPr>
        <w:t xml:space="preserve"> Congressional Budget Office. The prices that commercial health insurers and Medicare pay for hospitals' and physicians' services. Washington, DC: CBO; January 2022.</w:t>
      </w:r>
    </w:p>
    <w:p w14:paraId="4AC1DDA5" w14:textId="77777777" w:rsidR="00D33BD0" w:rsidRDefault="00000000">
      <w:pPr>
        <w:spacing w:after="210" w:line="360" w:lineRule="auto"/>
      </w:pPr>
      <w:r>
        <w:rPr>
          <w:rFonts w:ascii="source serif 4" w:eastAsia="source serif 4" w:hAnsi="source serif 4" w:cs="source serif 4"/>
          <w:b/>
          <w:color w:val="000000"/>
        </w:rPr>
        <w:t>45.</w:t>
      </w:r>
      <w:r>
        <w:rPr>
          <w:rFonts w:ascii="source serif 4" w:eastAsia="source serif 4" w:hAnsi="source serif 4" w:cs="source serif 4"/>
          <w:color w:val="000000"/>
        </w:rPr>
        <w:t xml:space="preserve"> Medicare Payment Advisory Commission. Report to the Congress: Medicare payment policy. Washington, DC: MedPAC; March 2025.</w:t>
      </w:r>
    </w:p>
    <w:p w14:paraId="0A60E2A1" w14:textId="77777777" w:rsidR="00D33BD0" w:rsidRDefault="00000000">
      <w:pPr>
        <w:spacing w:after="210" w:line="360" w:lineRule="auto"/>
      </w:pPr>
      <w:r>
        <w:rPr>
          <w:rFonts w:ascii="source serif 4" w:eastAsia="source serif 4" w:hAnsi="source serif 4" w:cs="source serif 4"/>
          <w:b/>
          <w:color w:val="000000"/>
        </w:rPr>
        <w:t>46.</w:t>
      </w:r>
      <w:r>
        <w:rPr>
          <w:rFonts w:ascii="source serif 4" w:eastAsia="source serif 4" w:hAnsi="source serif 4" w:cs="source serif 4"/>
          <w:color w:val="000000"/>
        </w:rPr>
        <w:t xml:space="preserve"> Ackley CA. Regional price level estimates for medical services in the United States. BEA Working Paper WP2025-3. Washington, DC: Bureau of Economic Analysis; March 2025.</w:t>
      </w:r>
    </w:p>
    <w:p w14:paraId="41E2EC3E" w14:textId="77777777" w:rsidR="00D33BD0" w:rsidRDefault="00000000">
      <w:pPr>
        <w:spacing w:after="210" w:line="360" w:lineRule="auto"/>
      </w:pPr>
      <w:r>
        <w:rPr>
          <w:rFonts w:ascii="source serif 4" w:eastAsia="source serif 4" w:hAnsi="source serif 4" w:cs="source serif 4"/>
          <w:b/>
          <w:color w:val="000000"/>
        </w:rPr>
        <w:t>47.</w:t>
      </w:r>
      <w:r>
        <w:rPr>
          <w:rFonts w:ascii="source serif 4" w:eastAsia="source serif 4" w:hAnsi="source serif 4" w:cs="source serif 4"/>
          <w:color w:val="000000"/>
        </w:rPr>
        <w:t xml:space="preserve"> Centers for Medicare and Medicaid Services. Comprehensive Care for Joint Replacement (CJR) Model, Performance Years 1–5 Findings. Baltimore: CMS; 2023.</w:t>
      </w:r>
    </w:p>
    <w:p w14:paraId="398DD161" w14:textId="77777777" w:rsidR="00D33BD0" w:rsidRDefault="00000000">
      <w:pPr>
        <w:spacing w:after="210" w:line="360" w:lineRule="auto"/>
      </w:pPr>
      <w:r>
        <w:rPr>
          <w:rFonts w:ascii="source serif 4" w:eastAsia="source serif 4" w:hAnsi="source serif 4" w:cs="source serif 4"/>
          <w:b/>
          <w:color w:val="000000"/>
        </w:rPr>
        <w:t>48.</w:t>
      </w:r>
      <w:r>
        <w:rPr>
          <w:rFonts w:ascii="source serif 4" w:eastAsia="source serif 4" w:hAnsi="source serif 4" w:cs="source serif 4"/>
          <w:color w:val="000000"/>
        </w:rPr>
        <w:t xml:space="preserve"> Centers for Medicare and Medicaid Services. BPCI Advanced Model: Fifth Annual Evaluation Report Executive Summary. Baltimore: CMS; May 2024.</w:t>
      </w:r>
    </w:p>
    <w:p w14:paraId="10A63B53" w14:textId="77777777" w:rsidR="00D33BD0" w:rsidRDefault="00000000">
      <w:pPr>
        <w:spacing w:after="210" w:line="360" w:lineRule="auto"/>
      </w:pPr>
      <w:r>
        <w:rPr>
          <w:rFonts w:ascii="source serif 4" w:eastAsia="source serif 4" w:hAnsi="source serif 4" w:cs="source serif 4"/>
          <w:b/>
          <w:color w:val="000000"/>
        </w:rPr>
        <w:lastRenderedPageBreak/>
        <w:t>49.</w:t>
      </w:r>
      <w:r>
        <w:rPr>
          <w:rFonts w:ascii="source serif 4" w:eastAsia="source serif 4" w:hAnsi="source serif 4" w:cs="source serif 4"/>
          <w:color w:val="000000"/>
        </w:rPr>
        <w:t xml:space="preserve"> Centers for Medicare and Medicaid Services. Medicare Shared Savings Program Performance Year 2024 Financial and Quality Results. CMS Fact Sheet. Washington, DC: CMS; 2025.</w:t>
      </w:r>
    </w:p>
    <w:p w14:paraId="543EA4C3" w14:textId="77777777" w:rsidR="00D33BD0" w:rsidRDefault="00000000">
      <w:pPr>
        <w:spacing w:after="210" w:line="360" w:lineRule="auto"/>
      </w:pPr>
      <w:r>
        <w:rPr>
          <w:rFonts w:ascii="source serif 4" w:eastAsia="source serif 4" w:hAnsi="source serif 4" w:cs="source serif 4"/>
          <w:b/>
          <w:color w:val="000000"/>
        </w:rPr>
        <w:t>50.</w:t>
      </w:r>
      <w:r>
        <w:rPr>
          <w:rFonts w:ascii="source serif 4" w:eastAsia="source serif 4" w:hAnsi="source serif 4" w:cs="source serif 4"/>
          <w:color w:val="000000"/>
        </w:rPr>
        <w:t xml:space="preserve"> Centers for Medicare and Medicaid Services. Transforming Episode Accountability Model (TEAM): final rule. Baltimore: CMS; 2025.</w:t>
      </w:r>
    </w:p>
    <w:p w14:paraId="02439CDE" w14:textId="77777777" w:rsidR="00D33BD0" w:rsidRDefault="00000000">
      <w:pPr>
        <w:spacing w:after="210" w:line="360" w:lineRule="auto"/>
      </w:pPr>
      <w:r>
        <w:rPr>
          <w:rFonts w:ascii="source serif 4" w:eastAsia="source serif 4" w:hAnsi="source serif 4" w:cs="source serif 4"/>
          <w:b/>
          <w:color w:val="000000"/>
        </w:rPr>
        <w:t>51.</w:t>
      </w:r>
      <w:r>
        <w:rPr>
          <w:rFonts w:ascii="source serif 4" w:eastAsia="source serif 4" w:hAnsi="source serif 4" w:cs="source serif 4"/>
          <w:color w:val="000000"/>
        </w:rPr>
        <w:t xml:space="preserve"> Joynt Maddox KE, Reidhead M, Chin A, Proctor EK. Association of contextual factors with quality ratings of US hospitals. </w:t>
      </w:r>
      <w:r>
        <w:rPr>
          <w:rFonts w:ascii="source serif 4" w:eastAsia="source serif 4" w:hAnsi="source serif 4" w:cs="source serif 4"/>
          <w:i/>
          <w:color w:val="000000"/>
        </w:rPr>
        <w:t>JAMA Intern Med</w:t>
      </w:r>
      <w:r>
        <w:rPr>
          <w:rFonts w:ascii="source serif 4" w:eastAsia="source serif 4" w:hAnsi="source serif 4" w:cs="source serif 4"/>
          <w:color w:val="000000"/>
        </w:rPr>
        <w:t>. 2019;179(11):1503–1512.</w:t>
      </w:r>
    </w:p>
    <w:p w14:paraId="76E5A3D2" w14:textId="77777777" w:rsidR="00D33BD0" w:rsidRDefault="00000000">
      <w:pPr>
        <w:spacing w:after="210" w:line="360" w:lineRule="auto"/>
      </w:pPr>
      <w:r>
        <w:rPr>
          <w:rFonts w:ascii="source serif 4" w:eastAsia="source serif 4" w:hAnsi="source serif 4" w:cs="source serif 4"/>
          <w:b/>
          <w:color w:val="000000"/>
        </w:rPr>
        <w:t>52.</w:t>
      </w:r>
      <w:r>
        <w:rPr>
          <w:rFonts w:ascii="source serif 4" w:eastAsia="source serif 4" w:hAnsi="source serif 4" w:cs="source serif 4"/>
          <w:color w:val="000000"/>
        </w:rPr>
        <w:t xml:space="preserve"> Barnett ML, Wilcock A, McWilliams JM, et al. Two-year evaluation of mandatory bundled payments for joint replacement. </w:t>
      </w:r>
      <w:r>
        <w:rPr>
          <w:rFonts w:ascii="source serif 4" w:eastAsia="source serif 4" w:hAnsi="source serif 4" w:cs="source serif 4"/>
          <w:i/>
          <w:color w:val="000000"/>
        </w:rPr>
        <w:t>N Engl J Med</w:t>
      </w:r>
      <w:r>
        <w:rPr>
          <w:rFonts w:ascii="source serif 4" w:eastAsia="source serif 4" w:hAnsi="source serif 4" w:cs="source serif 4"/>
          <w:color w:val="000000"/>
        </w:rPr>
        <w:t>. 2019;380(3):252–262.</w:t>
      </w:r>
    </w:p>
    <w:p w14:paraId="62CAB1D1" w14:textId="77777777" w:rsidR="00D33BD0" w:rsidRDefault="00000000">
      <w:pPr>
        <w:spacing w:after="210" w:line="360" w:lineRule="auto"/>
      </w:pPr>
      <w:r>
        <w:rPr>
          <w:rFonts w:ascii="source serif 4" w:eastAsia="source serif 4" w:hAnsi="source serif 4" w:cs="source serif 4"/>
          <w:b/>
          <w:color w:val="000000"/>
        </w:rPr>
        <w:t>53.</w:t>
      </w:r>
      <w:r>
        <w:rPr>
          <w:rFonts w:ascii="source serif 4" w:eastAsia="source serif 4" w:hAnsi="source serif 4" w:cs="source serif 4"/>
          <w:color w:val="000000"/>
        </w:rPr>
        <w:t xml:space="preserve"> Joynt Maddox KE, Sen AP, Samson LW, et al. Spending and quality after three years of Medicare's bundled payments for medical conditions. </w:t>
      </w:r>
      <w:r>
        <w:rPr>
          <w:rFonts w:ascii="source serif 4" w:eastAsia="source serif 4" w:hAnsi="source serif 4" w:cs="source serif 4"/>
          <w:i/>
          <w:color w:val="000000"/>
        </w:rPr>
        <w:t>BMJ</w:t>
      </w:r>
      <w:r>
        <w:rPr>
          <w:rFonts w:ascii="source serif 4" w:eastAsia="source serif 4" w:hAnsi="source serif 4" w:cs="source serif 4"/>
          <w:color w:val="000000"/>
        </w:rPr>
        <w:t>. 2020;369:m1780.</w:t>
      </w:r>
    </w:p>
    <w:p w14:paraId="1514795E" w14:textId="77777777" w:rsidR="00D33BD0" w:rsidRDefault="00000000">
      <w:pPr>
        <w:spacing w:after="210" w:line="360" w:lineRule="auto"/>
      </w:pPr>
      <w:r>
        <w:rPr>
          <w:rFonts w:ascii="source serif 4" w:eastAsia="source serif 4" w:hAnsi="source serif 4" w:cs="source serif 4"/>
          <w:b/>
          <w:color w:val="000000"/>
        </w:rPr>
        <w:t>54.</w:t>
      </w:r>
      <w:r>
        <w:rPr>
          <w:rFonts w:ascii="source serif 4" w:eastAsia="source serif 4" w:hAnsi="source serif 4" w:cs="source serif 4"/>
          <w:color w:val="000000"/>
        </w:rPr>
        <w:t xml:space="preserve"> Wilson M, Guta A, Waddell K, et al. The impacts of accountable care organizations on patient experience, health outcomes and costs: a rapid review. </w:t>
      </w:r>
      <w:r>
        <w:rPr>
          <w:rFonts w:ascii="source serif 4" w:eastAsia="source serif 4" w:hAnsi="source serif 4" w:cs="source serif 4"/>
          <w:i/>
          <w:color w:val="000000"/>
        </w:rPr>
        <w:t>J Health Serv Res Policy</w:t>
      </w:r>
      <w:r>
        <w:rPr>
          <w:rFonts w:ascii="source serif 4" w:eastAsia="source serif 4" w:hAnsi="source serif 4" w:cs="source serif 4"/>
          <w:color w:val="000000"/>
        </w:rPr>
        <w:t>. 2020;25(3):130–138.</w:t>
      </w:r>
    </w:p>
    <w:p w14:paraId="4D80C7D7" w14:textId="77777777" w:rsidR="00D33BD0" w:rsidRDefault="00000000">
      <w:pPr>
        <w:spacing w:after="210" w:line="360" w:lineRule="auto"/>
      </w:pPr>
      <w:r>
        <w:rPr>
          <w:rFonts w:ascii="source serif 4" w:eastAsia="source serif 4" w:hAnsi="source serif 4" w:cs="source serif 4"/>
          <w:b/>
          <w:color w:val="000000"/>
        </w:rPr>
        <w:t>55.</w:t>
      </w:r>
      <w:r>
        <w:rPr>
          <w:rFonts w:ascii="source serif 4" w:eastAsia="source serif 4" w:hAnsi="source serif 4" w:cs="source serif 4"/>
          <w:color w:val="000000"/>
        </w:rPr>
        <w:t xml:space="preserve"> Liao JM, Navathe AS, et al. The impact of bundled payment on health care spending, utilization, and quality: a systematic review. </w:t>
      </w:r>
      <w:r>
        <w:rPr>
          <w:rFonts w:ascii="source serif 4" w:eastAsia="source serif 4" w:hAnsi="source serif 4" w:cs="source serif 4"/>
          <w:i/>
          <w:color w:val="000000"/>
        </w:rPr>
        <w:t>Health Aff (Millwood)</w:t>
      </w:r>
      <w:r>
        <w:rPr>
          <w:rFonts w:ascii="source serif 4" w:eastAsia="source serif 4" w:hAnsi="source serif 4" w:cs="source serif 4"/>
          <w:color w:val="000000"/>
        </w:rPr>
        <w:t>. 2020;39(1):50–57.</w:t>
      </w:r>
    </w:p>
    <w:p w14:paraId="607F61E3" w14:textId="77777777" w:rsidR="00D33BD0" w:rsidRDefault="00000000">
      <w:pPr>
        <w:spacing w:after="210" w:line="360" w:lineRule="auto"/>
      </w:pPr>
      <w:r>
        <w:rPr>
          <w:rFonts w:ascii="source serif 4" w:eastAsia="source serif 4" w:hAnsi="source serif 4" w:cs="source serif 4"/>
          <w:b/>
          <w:color w:val="000000"/>
        </w:rPr>
        <w:t>56.</w:t>
      </w:r>
      <w:r>
        <w:rPr>
          <w:rFonts w:ascii="source serif 4" w:eastAsia="source serif 4" w:hAnsi="source serif 4" w:cs="source serif 4"/>
          <w:color w:val="000000"/>
        </w:rPr>
        <w:t xml:space="preserve"> Wiggins SF, Smith E, Rusev E, Steinberg E. Price or practice? Decomposing commercial health care cost variance into price and efficiency: episode-level evidence from 8.2 million commercial episodes in four Texas metropolitan areas. Oxbridge Health Analytics Working Paper; June 2026.</w:t>
      </w:r>
    </w:p>
    <w:p w14:paraId="11DB390E" w14:textId="77777777" w:rsidR="00D33BD0" w:rsidRDefault="00000000">
      <w:pPr>
        <w:spacing w:after="210" w:line="360" w:lineRule="auto"/>
      </w:pPr>
      <w:r>
        <w:rPr>
          <w:rFonts w:ascii="source serif 4" w:eastAsia="source serif 4" w:hAnsi="source serif 4" w:cs="source serif 4"/>
          <w:b/>
          <w:color w:val="000000"/>
        </w:rPr>
        <w:t>57.</w:t>
      </w:r>
      <w:r>
        <w:rPr>
          <w:rFonts w:ascii="source serif 4" w:eastAsia="source serif 4" w:hAnsi="source serif 4" w:cs="source serif 4"/>
          <w:color w:val="000000"/>
        </w:rPr>
        <w:t xml:space="preserve"> Wiggins SF, Smith E, Rusev E, Steinberg E. Does higher cost buy better care? A structured review of the evidence on the correlation between health care cost and quality. Oxbridge Health Analytics Working Paper; June 2026.</w:t>
      </w:r>
    </w:p>
    <w:p w14:paraId="22287DAB" w14:textId="77777777" w:rsidR="00D33BD0" w:rsidRDefault="00000000">
      <w:pPr>
        <w:spacing w:after="210" w:line="360" w:lineRule="auto"/>
      </w:pPr>
      <w:r>
        <w:rPr>
          <w:rFonts w:ascii="source serif 4" w:eastAsia="source serif 4" w:hAnsi="source serif 4" w:cs="source serif 4"/>
          <w:b/>
          <w:color w:val="000000"/>
        </w:rPr>
        <w:t>58.</w:t>
      </w:r>
      <w:r>
        <w:rPr>
          <w:rFonts w:ascii="source serif 4" w:eastAsia="source serif 4" w:hAnsi="source serif 4" w:cs="source serif 4"/>
          <w:color w:val="000000"/>
        </w:rPr>
        <w:t xml:space="preserve"> Hider AM, et al. Association of bundled payments with health care quality and costs. </w:t>
      </w:r>
      <w:r>
        <w:rPr>
          <w:rFonts w:ascii="source serif 4" w:eastAsia="source serif 4" w:hAnsi="source serif 4" w:cs="source serif 4"/>
          <w:i/>
          <w:color w:val="000000"/>
        </w:rPr>
        <w:t>Ann Surg</w:t>
      </w:r>
      <w:r>
        <w:rPr>
          <w:rFonts w:ascii="source serif 4" w:eastAsia="source serif 4" w:hAnsi="source serif 4" w:cs="source serif 4"/>
          <w:color w:val="000000"/>
        </w:rPr>
        <w:t>. 2023.</w:t>
      </w:r>
    </w:p>
    <w:p w14:paraId="0669C9B7" w14:textId="77777777" w:rsidR="00D33BD0" w:rsidRDefault="00000000">
      <w:pPr>
        <w:spacing w:after="210" w:line="360" w:lineRule="auto"/>
      </w:pPr>
      <w:r>
        <w:rPr>
          <w:rFonts w:ascii="source serif 4" w:eastAsia="source serif 4" w:hAnsi="source serif 4" w:cs="source serif 4"/>
          <w:b/>
          <w:color w:val="000000"/>
        </w:rPr>
        <w:t>59.</w:t>
      </w:r>
      <w:r>
        <w:rPr>
          <w:rFonts w:ascii="source serif 4" w:eastAsia="source serif 4" w:hAnsi="source serif 4" w:cs="source serif 4"/>
          <w:color w:val="000000"/>
        </w:rPr>
        <w:t xml:space="preserve"> Navathe AS, et al. Medicare's bundled payment initiatives for hospital-based care: evidence and implications. </w:t>
      </w:r>
      <w:r>
        <w:rPr>
          <w:rFonts w:ascii="source serif 4" w:eastAsia="source serif 4" w:hAnsi="source serif 4" w:cs="source serif 4"/>
          <w:i/>
          <w:color w:val="000000"/>
        </w:rPr>
        <w:t>Health Aff (Millwood)</w:t>
      </w:r>
      <w:r>
        <w:rPr>
          <w:rFonts w:ascii="source serif 4" w:eastAsia="source serif 4" w:hAnsi="source serif 4" w:cs="source serif 4"/>
          <w:color w:val="000000"/>
        </w:rPr>
        <w:t>. 2020.</w:t>
      </w:r>
    </w:p>
    <w:p w14:paraId="236C14A0" w14:textId="77777777" w:rsidR="00D33BD0" w:rsidRDefault="00000000">
      <w:pPr>
        <w:spacing w:after="210" w:line="360" w:lineRule="auto"/>
      </w:pPr>
      <w:r>
        <w:rPr>
          <w:rFonts w:ascii="source serif 4" w:eastAsia="source serif 4" w:hAnsi="source serif 4" w:cs="source serif 4"/>
          <w:b/>
          <w:color w:val="000000"/>
        </w:rPr>
        <w:t>60.</w:t>
      </w:r>
      <w:r>
        <w:rPr>
          <w:rFonts w:ascii="source serif 4" w:eastAsia="source serif 4" w:hAnsi="source serif 4" w:cs="source serif 4"/>
          <w:color w:val="000000"/>
        </w:rPr>
        <w:t xml:space="preserve"> Bronner K, Skinner J. Geographic variations in spending and utilization across payer types. </w:t>
      </w:r>
      <w:r>
        <w:rPr>
          <w:rFonts w:ascii="source serif 4" w:eastAsia="source serif 4" w:hAnsi="source serif 4" w:cs="source serif 4"/>
          <w:i/>
          <w:color w:val="000000"/>
        </w:rPr>
        <w:t>JAMA Netw Open</w:t>
      </w:r>
      <w:r>
        <w:rPr>
          <w:rFonts w:ascii="source serif 4" w:eastAsia="source serif 4" w:hAnsi="source serif 4" w:cs="source serif 4"/>
          <w:color w:val="000000"/>
        </w:rPr>
        <w:t>. 2022.</w:t>
      </w:r>
    </w:p>
    <w:p w14:paraId="045FF8DF" w14:textId="77777777" w:rsidR="00D33BD0" w:rsidRDefault="008335B1">
      <w:pPr>
        <w:spacing w:before="210" w:after="0" w:line="360" w:lineRule="auto"/>
      </w:pPr>
      <w:r>
        <w:rPr>
          <w:noProof/>
        </w:rPr>
      </w:r>
      <w:r>
        <w:rPr>
          <w:noProof/>
        </w:rPr>
        <w:pict w14:anchorId="714A54BF">
          <v:rect id="_x0000_s1027"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70DB4612" w14:textId="77777777" w:rsidR="00D33BD0" w:rsidRDefault="00000000">
      <w:pPr>
        <w:spacing w:after="210" w:line="360" w:lineRule="auto"/>
      </w:pPr>
      <w:r>
        <w:rPr>
          <w:rFonts w:ascii="source serif 4" w:eastAsia="source serif 4" w:hAnsi="source serif 4" w:cs="source serif 4"/>
          <w:i/>
          <w:color w:val="000000"/>
        </w:rPr>
        <w:t>Conflict of Interest Disclosure: The authors are employed by Oxbridge Health Analytics, which provides episode-level analytics for commercial payers, employers, and health systems. The analyses reported in reference 56 are the authors' own work. No external funding was received for this meta-analysis.</w:t>
      </w:r>
    </w:p>
    <w:p w14:paraId="271C102F" w14:textId="77777777" w:rsidR="00D33BD0" w:rsidRDefault="00000000">
      <w:pPr>
        <w:spacing w:after="210" w:line="360" w:lineRule="auto"/>
      </w:pPr>
      <w:r>
        <w:rPr>
          <w:rFonts w:ascii="source serif 4" w:eastAsia="source serif 4" w:hAnsi="source serif 4" w:cs="source serif 4"/>
          <w:i/>
          <w:color w:val="000000"/>
        </w:rPr>
        <w:lastRenderedPageBreak/>
        <w:t>Data Availability: The Oxbridge Texas episode analysis (reference 56) is based on commercially licensed claims data subject to data use agreements. Aggregate data presented in the tables are available from the corresponding author upon reasonable request.</w:t>
      </w:r>
    </w:p>
    <w:p w14:paraId="7AA5A746" w14:textId="77777777" w:rsidR="00D33BD0" w:rsidRDefault="008335B1">
      <w:pPr>
        <w:spacing w:before="210" w:after="0" w:line="360" w:lineRule="auto"/>
      </w:pPr>
      <w:r>
        <w:rPr>
          <w:noProof/>
        </w:rPr>
      </w:r>
      <w:r>
        <w:rPr>
          <w:noProof/>
        </w:rPr>
        <w:pict w14:anchorId="0A3F745B">
          <v:rect id="_x0000_s1026"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400F1E38" w14:textId="77777777" w:rsidR="00D33BD0" w:rsidRDefault="00000000">
      <w:pPr>
        <w:spacing w:before="315" w:after="105" w:line="360" w:lineRule="auto"/>
        <w:ind w:left="-30"/>
      </w:pPr>
      <w:bookmarkStart w:id="46" w:name="references_2"/>
      <w:r>
        <w:rPr>
          <w:rFonts w:ascii="source serif 4" w:eastAsia="source serif 4" w:hAnsi="source serif 4" w:cs="source serif 4"/>
          <w:b/>
          <w:color w:val="000000"/>
          <w:sz w:val="24"/>
        </w:rPr>
        <w:t>References</w:t>
      </w:r>
      <w:bookmarkEnd w:id="46"/>
    </w:p>
    <w:p w14:paraId="1F071281" w14:textId="77777777" w:rsidR="00D33BD0" w:rsidRDefault="00000000">
      <w:pPr>
        <w:numPr>
          <w:ilvl w:val="0"/>
          <w:numId w:val="9"/>
        </w:numPr>
        <w:spacing w:after="210" w:line="360" w:lineRule="auto"/>
      </w:pPr>
      <w:hyperlink r:id="rId6">
        <w:r>
          <w:rPr>
            <w:rFonts w:ascii="source sans 3" w:eastAsia="source sans 3" w:hAnsi="source sans 3" w:cs="source sans 3"/>
            <w:u w:val="single"/>
          </w:rPr>
          <w:t>Health-Care-Cost-Variance-Report-June-2026-V2.docx</w:t>
        </w:r>
      </w:hyperlink>
      <w:r>
        <w:rPr>
          <w:rFonts w:ascii="source serif 4" w:eastAsia="source serif 4" w:hAnsi="source serif 4" w:cs="source serif 4"/>
          <w:color w:val="000000"/>
        </w:rPr>
        <w:t xml:space="preserve"> - Price or Practice? Decomposing Commercial Health Care Cost Variance into Price and Efficiency Episod...</w:t>
      </w:r>
    </w:p>
    <w:p w14:paraId="6D5D8F44" w14:textId="77777777" w:rsidR="00D33BD0" w:rsidRDefault="00000000">
      <w:pPr>
        <w:numPr>
          <w:ilvl w:val="0"/>
          <w:numId w:val="9"/>
        </w:numPr>
        <w:spacing w:after="210" w:line="360" w:lineRule="auto"/>
      </w:pPr>
      <w:hyperlink r:id="rId7">
        <w:r>
          <w:rPr>
            <w:rFonts w:ascii="source sans 3" w:eastAsia="source sans 3" w:hAnsi="source sans 3" w:cs="source sans 3"/>
            <w:u w:val="single"/>
          </w:rPr>
          <w:t>Cost-Quality-Correlation-Meta-Study-June-2026.docx</w:t>
        </w:r>
      </w:hyperlink>
      <w:r>
        <w:rPr>
          <w:rFonts w:ascii="source serif 4" w:eastAsia="source serif 4" w:hAnsi="source serif 4" w:cs="source serif 4"/>
          <w:color w:val="000000"/>
        </w:rPr>
        <w:t xml:space="preserve"> - Does Higher Cost Buy Better Care? A Structured Review of the Evidence on the Correlation Between Hea...</w:t>
      </w:r>
    </w:p>
    <w:p w14:paraId="394E0A95" w14:textId="77777777" w:rsidR="00D33BD0" w:rsidRDefault="00000000">
      <w:pPr>
        <w:numPr>
          <w:ilvl w:val="0"/>
          <w:numId w:val="9"/>
        </w:numPr>
        <w:spacing w:after="210" w:line="360" w:lineRule="auto"/>
      </w:pPr>
      <w:hyperlink r:id="rId8">
        <w:r>
          <w:rPr>
            <w:rFonts w:ascii="source sans 3" w:eastAsia="source sans 3" w:hAnsi="source sans 3" w:cs="source sans 3"/>
            <w:u w:val="single"/>
          </w:rPr>
          <w:t>Eliminating Waste in US Health Care - JAMA Network</w:t>
        </w:r>
      </w:hyperlink>
      <w:r>
        <w:rPr>
          <w:rFonts w:ascii="source serif 4" w:eastAsia="source serif 4" w:hAnsi="source serif 4" w:cs="source serif 4"/>
          <w:color w:val="000000"/>
        </w:rPr>
        <w:t xml:space="preserve"> - Berwick and Hackbarth use a “wedges” model to propose how reducing waste in 6 different categories c...</w:t>
      </w:r>
    </w:p>
    <w:sectPr w:rsidR="00D33BD0">
      <w:pgSz w:w="12240" w:h="15840"/>
      <w:pgMar w:top="1365" w:right="1365" w:bottom="1365" w:left="13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source serif 4">
    <w:altName w:val="Cambria"/>
    <w:panose1 w:val="020B0604020202020204"/>
    <w:charset w:val="00"/>
    <w:family w:val="roman"/>
    <w:notTrueType/>
    <w:pitch w:val="default"/>
  </w:font>
  <w:font w:name="source sans 3">
    <w:altName w:val="Cambria"/>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5FC3F34"/>
    <w:multiLevelType w:val="hybridMultilevel"/>
    <w:tmpl w:val="F528C7A4"/>
    <w:lvl w:ilvl="0" w:tplc="698232A0">
      <w:start w:val="1"/>
      <w:numFmt w:val="decimal"/>
      <w:lvlText w:val="%1."/>
      <w:lvlJc w:val="left"/>
      <w:pPr>
        <w:tabs>
          <w:tab w:val="num" w:pos="900"/>
        </w:tabs>
        <w:ind w:left="540" w:hanging="360"/>
      </w:pPr>
    </w:lvl>
    <w:lvl w:ilvl="1" w:tplc="7B2A9704">
      <w:numFmt w:val="decimal"/>
      <w:lvlText w:val=""/>
      <w:lvlJc w:val="left"/>
    </w:lvl>
    <w:lvl w:ilvl="2" w:tplc="F7D2D66A">
      <w:numFmt w:val="decimal"/>
      <w:lvlText w:val=""/>
      <w:lvlJc w:val="left"/>
    </w:lvl>
    <w:lvl w:ilvl="3" w:tplc="3B9C4EBC">
      <w:numFmt w:val="decimal"/>
      <w:lvlText w:val=""/>
      <w:lvlJc w:val="left"/>
    </w:lvl>
    <w:lvl w:ilvl="4" w:tplc="1C764DB2">
      <w:numFmt w:val="decimal"/>
      <w:lvlText w:val=""/>
      <w:lvlJc w:val="left"/>
    </w:lvl>
    <w:lvl w:ilvl="5" w:tplc="1AF69AEA">
      <w:numFmt w:val="decimal"/>
      <w:lvlText w:val=""/>
      <w:lvlJc w:val="left"/>
    </w:lvl>
    <w:lvl w:ilvl="6" w:tplc="A6C0ACC0">
      <w:numFmt w:val="decimal"/>
      <w:lvlText w:val=""/>
      <w:lvlJc w:val="left"/>
    </w:lvl>
    <w:lvl w:ilvl="7" w:tplc="E2D827E0">
      <w:numFmt w:val="decimal"/>
      <w:lvlText w:val=""/>
      <w:lvlJc w:val="left"/>
    </w:lvl>
    <w:lvl w:ilvl="8" w:tplc="2C422BDE">
      <w:numFmt w:val="decimal"/>
      <w:lvlText w:val=""/>
      <w:lvlJc w:val="left"/>
    </w:lvl>
  </w:abstractNum>
  <w:abstractNum w:abstractNumId="1" w15:restartNumberingAfterBreak="0">
    <w:nsid w:val="090233FC"/>
    <w:multiLevelType w:val="hybridMultilevel"/>
    <w:tmpl w:val="10A04A3A"/>
    <w:lvl w:ilvl="0" w:tplc="F1A84C26">
      <w:start w:val="1"/>
      <w:numFmt w:val="decimal"/>
      <w:lvlText w:val="%1."/>
      <w:lvlJc w:val="left"/>
      <w:pPr>
        <w:tabs>
          <w:tab w:val="num" w:pos="900"/>
        </w:tabs>
        <w:ind w:left="540" w:hanging="360"/>
      </w:pPr>
    </w:lvl>
    <w:lvl w:ilvl="1" w:tplc="B876328C">
      <w:numFmt w:val="decimal"/>
      <w:lvlText w:val=""/>
      <w:lvlJc w:val="left"/>
    </w:lvl>
    <w:lvl w:ilvl="2" w:tplc="B6D0C7EE">
      <w:numFmt w:val="decimal"/>
      <w:lvlText w:val=""/>
      <w:lvlJc w:val="left"/>
    </w:lvl>
    <w:lvl w:ilvl="3" w:tplc="886655D6">
      <w:numFmt w:val="decimal"/>
      <w:lvlText w:val=""/>
      <w:lvlJc w:val="left"/>
    </w:lvl>
    <w:lvl w:ilvl="4" w:tplc="587602A4">
      <w:numFmt w:val="decimal"/>
      <w:lvlText w:val=""/>
      <w:lvlJc w:val="left"/>
    </w:lvl>
    <w:lvl w:ilvl="5" w:tplc="895AA6A6">
      <w:numFmt w:val="decimal"/>
      <w:lvlText w:val=""/>
      <w:lvlJc w:val="left"/>
    </w:lvl>
    <w:lvl w:ilvl="6" w:tplc="D66C6A36">
      <w:numFmt w:val="decimal"/>
      <w:lvlText w:val=""/>
      <w:lvlJc w:val="left"/>
    </w:lvl>
    <w:lvl w:ilvl="7" w:tplc="F39AF6CC">
      <w:numFmt w:val="decimal"/>
      <w:lvlText w:val=""/>
      <w:lvlJc w:val="left"/>
    </w:lvl>
    <w:lvl w:ilvl="8" w:tplc="78DC271C">
      <w:numFmt w:val="decimal"/>
      <w:lvlText w:val=""/>
      <w:lvlJc w:val="left"/>
    </w:lvl>
  </w:abstractNum>
  <w:abstractNum w:abstractNumId="2" w15:restartNumberingAfterBreak="0">
    <w:nsid w:val="2D57295C"/>
    <w:multiLevelType w:val="hybridMultilevel"/>
    <w:tmpl w:val="CBCCDF4C"/>
    <w:lvl w:ilvl="0" w:tplc="0B0E771A">
      <w:start w:val="1"/>
      <w:numFmt w:val="bullet"/>
      <w:lvlText w:val=""/>
      <w:lvlJc w:val="left"/>
      <w:pPr>
        <w:tabs>
          <w:tab w:val="num" w:pos="900"/>
        </w:tabs>
        <w:ind w:left="540" w:hanging="360"/>
      </w:pPr>
      <w:rPr>
        <w:rFonts w:ascii="Symbol" w:hAnsi="Symbol" w:hint="default"/>
      </w:rPr>
    </w:lvl>
    <w:lvl w:ilvl="1" w:tplc="BED8E5AE">
      <w:numFmt w:val="decimal"/>
      <w:lvlText w:val=""/>
      <w:lvlJc w:val="left"/>
    </w:lvl>
    <w:lvl w:ilvl="2" w:tplc="DB0608BE">
      <w:numFmt w:val="decimal"/>
      <w:lvlText w:val=""/>
      <w:lvlJc w:val="left"/>
    </w:lvl>
    <w:lvl w:ilvl="3" w:tplc="C08065D6">
      <w:numFmt w:val="decimal"/>
      <w:lvlText w:val=""/>
      <w:lvlJc w:val="left"/>
    </w:lvl>
    <w:lvl w:ilvl="4" w:tplc="4768EFD6">
      <w:numFmt w:val="decimal"/>
      <w:lvlText w:val=""/>
      <w:lvlJc w:val="left"/>
    </w:lvl>
    <w:lvl w:ilvl="5" w:tplc="8E222E3A">
      <w:numFmt w:val="decimal"/>
      <w:lvlText w:val=""/>
      <w:lvlJc w:val="left"/>
    </w:lvl>
    <w:lvl w:ilvl="6" w:tplc="D226AC70">
      <w:numFmt w:val="decimal"/>
      <w:lvlText w:val=""/>
      <w:lvlJc w:val="left"/>
    </w:lvl>
    <w:lvl w:ilvl="7" w:tplc="DB3AE416">
      <w:numFmt w:val="decimal"/>
      <w:lvlText w:val=""/>
      <w:lvlJc w:val="left"/>
    </w:lvl>
    <w:lvl w:ilvl="8" w:tplc="CF3A6F54">
      <w:numFmt w:val="decimal"/>
      <w:lvlText w:val=""/>
      <w:lvlJc w:val="left"/>
    </w:lvl>
  </w:abstractNum>
  <w:abstractNum w:abstractNumId="3" w15:restartNumberingAfterBreak="0">
    <w:nsid w:val="36935234"/>
    <w:multiLevelType w:val="hybridMultilevel"/>
    <w:tmpl w:val="A3C2B274"/>
    <w:lvl w:ilvl="0" w:tplc="9A2882F8">
      <w:start w:val="1"/>
      <w:numFmt w:val="decimal"/>
      <w:lvlText w:val="%1."/>
      <w:lvlJc w:val="left"/>
      <w:pPr>
        <w:tabs>
          <w:tab w:val="num" w:pos="900"/>
        </w:tabs>
        <w:ind w:left="540" w:hanging="360"/>
      </w:pPr>
    </w:lvl>
    <w:lvl w:ilvl="1" w:tplc="D67040A8">
      <w:numFmt w:val="decimal"/>
      <w:lvlText w:val=""/>
      <w:lvlJc w:val="left"/>
    </w:lvl>
    <w:lvl w:ilvl="2" w:tplc="F92A5E24">
      <w:numFmt w:val="decimal"/>
      <w:lvlText w:val=""/>
      <w:lvlJc w:val="left"/>
    </w:lvl>
    <w:lvl w:ilvl="3" w:tplc="03C0557A">
      <w:numFmt w:val="decimal"/>
      <w:lvlText w:val=""/>
      <w:lvlJc w:val="left"/>
    </w:lvl>
    <w:lvl w:ilvl="4" w:tplc="A51243BC">
      <w:numFmt w:val="decimal"/>
      <w:lvlText w:val=""/>
      <w:lvlJc w:val="left"/>
    </w:lvl>
    <w:lvl w:ilvl="5" w:tplc="F822C15E">
      <w:numFmt w:val="decimal"/>
      <w:lvlText w:val=""/>
      <w:lvlJc w:val="left"/>
    </w:lvl>
    <w:lvl w:ilvl="6" w:tplc="D8804C10">
      <w:numFmt w:val="decimal"/>
      <w:lvlText w:val=""/>
      <w:lvlJc w:val="left"/>
    </w:lvl>
    <w:lvl w:ilvl="7" w:tplc="929A87A4">
      <w:numFmt w:val="decimal"/>
      <w:lvlText w:val=""/>
      <w:lvlJc w:val="left"/>
    </w:lvl>
    <w:lvl w:ilvl="8" w:tplc="28F49166">
      <w:numFmt w:val="decimal"/>
      <w:lvlText w:val=""/>
      <w:lvlJc w:val="left"/>
    </w:lvl>
  </w:abstractNum>
  <w:abstractNum w:abstractNumId="4" w15:restartNumberingAfterBreak="0">
    <w:nsid w:val="3B3A61E5"/>
    <w:multiLevelType w:val="hybridMultilevel"/>
    <w:tmpl w:val="C248C676"/>
    <w:lvl w:ilvl="0" w:tplc="2B9ED996">
      <w:start w:val="1"/>
      <w:numFmt w:val="bullet"/>
      <w:lvlText w:val=""/>
      <w:lvlJc w:val="left"/>
      <w:pPr>
        <w:tabs>
          <w:tab w:val="num" w:pos="900"/>
        </w:tabs>
        <w:ind w:left="540" w:hanging="360"/>
      </w:pPr>
      <w:rPr>
        <w:rFonts w:ascii="Symbol" w:hAnsi="Symbol" w:hint="default"/>
      </w:rPr>
    </w:lvl>
    <w:lvl w:ilvl="1" w:tplc="0E868632">
      <w:numFmt w:val="decimal"/>
      <w:lvlText w:val=""/>
      <w:lvlJc w:val="left"/>
    </w:lvl>
    <w:lvl w:ilvl="2" w:tplc="AF18C8D6">
      <w:numFmt w:val="decimal"/>
      <w:lvlText w:val=""/>
      <w:lvlJc w:val="left"/>
    </w:lvl>
    <w:lvl w:ilvl="3" w:tplc="74C051A0">
      <w:numFmt w:val="decimal"/>
      <w:lvlText w:val=""/>
      <w:lvlJc w:val="left"/>
    </w:lvl>
    <w:lvl w:ilvl="4" w:tplc="C27EEE90">
      <w:numFmt w:val="decimal"/>
      <w:lvlText w:val=""/>
      <w:lvlJc w:val="left"/>
    </w:lvl>
    <w:lvl w:ilvl="5" w:tplc="D28E43BA">
      <w:numFmt w:val="decimal"/>
      <w:lvlText w:val=""/>
      <w:lvlJc w:val="left"/>
    </w:lvl>
    <w:lvl w:ilvl="6" w:tplc="916C7E62">
      <w:numFmt w:val="decimal"/>
      <w:lvlText w:val=""/>
      <w:lvlJc w:val="left"/>
    </w:lvl>
    <w:lvl w:ilvl="7" w:tplc="F684C892">
      <w:numFmt w:val="decimal"/>
      <w:lvlText w:val=""/>
      <w:lvlJc w:val="left"/>
    </w:lvl>
    <w:lvl w:ilvl="8" w:tplc="3EEAECDA">
      <w:numFmt w:val="decimal"/>
      <w:lvlText w:val=""/>
      <w:lvlJc w:val="left"/>
    </w:lvl>
  </w:abstractNum>
  <w:abstractNum w:abstractNumId="5" w15:restartNumberingAfterBreak="0">
    <w:nsid w:val="40431AD4"/>
    <w:multiLevelType w:val="hybridMultilevel"/>
    <w:tmpl w:val="DBA85B72"/>
    <w:lvl w:ilvl="0" w:tplc="C1B25FA6">
      <w:start w:val="1"/>
      <w:numFmt w:val="bullet"/>
      <w:lvlText w:val=""/>
      <w:lvlJc w:val="left"/>
      <w:pPr>
        <w:tabs>
          <w:tab w:val="num" w:pos="900"/>
        </w:tabs>
        <w:ind w:left="540" w:hanging="360"/>
      </w:pPr>
      <w:rPr>
        <w:rFonts w:ascii="Symbol" w:hAnsi="Symbol" w:hint="default"/>
      </w:rPr>
    </w:lvl>
    <w:lvl w:ilvl="1" w:tplc="D1D8E76C">
      <w:numFmt w:val="decimal"/>
      <w:lvlText w:val=""/>
      <w:lvlJc w:val="left"/>
    </w:lvl>
    <w:lvl w:ilvl="2" w:tplc="9BA0CB6A">
      <w:numFmt w:val="decimal"/>
      <w:lvlText w:val=""/>
      <w:lvlJc w:val="left"/>
    </w:lvl>
    <w:lvl w:ilvl="3" w:tplc="4954835A">
      <w:numFmt w:val="decimal"/>
      <w:lvlText w:val=""/>
      <w:lvlJc w:val="left"/>
    </w:lvl>
    <w:lvl w:ilvl="4" w:tplc="98E650D8">
      <w:numFmt w:val="decimal"/>
      <w:lvlText w:val=""/>
      <w:lvlJc w:val="left"/>
    </w:lvl>
    <w:lvl w:ilvl="5" w:tplc="C1429BB4">
      <w:numFmt w:val="decimal"/>
      <w:lvlText w:val=""/>
      <w:lvlJc w:val="left"/>
    </w:lvl>
    <w:lvl w:ilvl="6" w:tplc="D45C7F26">
      <w:numFmt w:val="decimal"/>
      <w:lvlText w:val=""/>
      <w:lvlJc w:val="left"/>
    </w:lvl>
    <w:lvl w:ilvl="7" w:tplc="47B08EBA">
      <w:numFmt w:val="decimal"/>
      <w:lvlText w:val=""/>
      <w:lvlJc w:val="left"/>
    </w:lvl>
    <w:lvl w:ilvl="8" w:tplc="1C2C30AA">
      <w:numFmt w:val="decimal"/>
      <w:lvlText w:val=""/>
      <w:lvlJc w:val="left"/>
    </w:lvl>
  </w:abstractNum>
  <w:abstractNum w:abstractNumId="6" w15:restartNumberingAfterBreak="0">
    <w:nsid w:val="56971BB1"/>
    <w:multiLevelType w:val="hybridMultilevel"/>
    <w:tmpl w:val="0EA29868"/>
    <w:lvl w:ilvl="0" w:tplc="5950ED86">
      <w:start w:val="1"/>
      <w:numFmt w:val="bullet"/>
      <w:lvlText w:val=""/>
      <w:lvlJc w:val="left"/>
      <w:pPr>
        <w:tabs>
          <w:tab w:val="num" w:pos="900"/>
        </w:tabs>
        <w:ind w:left="540" w:hanging="360"/>
      </w:pPr>
      <w:rPr>
        <w:rFonts w:ascii="Symbol" w:hAnsi="Symbol" w:hint="default"/>
      </w:rPr>
    </w:lvl>
    <w:lvl w:ilvl="1" w:tplc="B62ADE5C">
      <w:numFmt w:val="decimal"/>
      <w:lvlText w:val=""/>
      <w:lvlJc w:val="left"/>
    </w:lvl>
    <w:lvl w:ilvl="2" w:tplc="318C3A50">
      <w:numFmt w:val="decimal"/>
      <w:lvlText w:val=""/>
      <w:lvlJc w:val="left"/>
    </w:lvl>
    <w:lvl w:ilvl="3" w:tplc="746E0E82">
      <w:numFmt w:val="decimal"/>
      <w:lvlText w:val=""/>
      <w:lvlJc w:val="left"/>
    </w:lvl>
    <w:lvl w:ilvl="4" w:tplc="D6644D16">
      <w:numFmt w:val="decimal"/>
      <w:lvlText w:val=""/>
      <w:lvlJc w:val="left"/>
    </w:lvl>
    <w:lvl w:ilvl="5" w:tplc="AF9A338A">
      <w:numFmt w:val="decimal"/>
      <w:lvlText w:val=""/>
      <w:lvlJc w:val="left"/>
    </w:lvl>
    <w:lvl w:ilvl="6" w:tplc="A4F83CAE">
      <w:numFmt w:val="decimal"/>
      <w:lvlText w:val=""/>
      <w:lvlJc w:val="left"/>
    </w:lvl>
    <w:lvl w:ilvl="7" w:tplc="6BC261C6">
      <w:numFmt w:val="decimal"/>
      <w:lvlText w:val=""/>
      <w:lvlJc w:val="left"/>
    </w:lvl>
    <w:lvl w:ilvl="8" w:tplc="7870F98C">
      <w:numFmt w:val="decimal"/>
      <w:lvlText w:val=""/>
      <w:lvlJc w:val="left"/>
    </w:lvl>
  </w:abstractNum>
  <w:abstractNum w:abstractNumId="7" w15:restartNumberingAfterBreak="0">
    <w:nsid w:val="5B243A0F"/>
    <w:multiLevelType w:val="hybridMultilevel"/>
    <w:tmpl w:val="10D884A4"/>
    <w:lvl w:ilvl="0" w:tplc="FF062D24">
      <w:start w:val="1"/>
      <w:numFmt w:val="bullet"/>
      <w:lvlText w:val=""/>
      <w:lvlJc w:val="left"/>
      <w:pPr>
        <w:tabs>
          <w:tab w:val="num" w:pos="900"/>
        </w:tabs>
        <w:ind w:left="540" w:hanging="360"/>
      </w:pPr>
      <w:rPr>
        <w:rFonts w:ascii="Symbol" w:hAnsi="Symbol" w:hint="default"/>
      </w:rPr>
    </w:lvl>
    <w:lvl w:ilvl="1" w:tplc="44168BF8">
      <w:numFmt w:val="decimal"/>
      <w:lvlText w:val=""/>
      <w:lvlJc w:val="left"/>
    </w:lvl>
    <w:lvl w:ilvl="2" w:tplc="28267FB8">
      <w:numFmt w:val="decimal"/>
      <w:lvlText w:val=""/>
      <w:lvlJc w:val="left"/>
    </w:lvl>
    <w:lvl w:ilvl="3" w:tplc="58540886">
      <w:numFmt w:val="decimal"/>
      <w:lvlText w:val=""/>
      <w:lvlJc w:val="left"/>
    </w:lvl>
    <w:lvl w:ilvl="4" w:tplc="60FAE11A">
      <w:numFmt w:val="decimal"/>
      <w:lvlText w:val=""/>
      <w:lvlJc w:val="left"/>
    </w:lvl>
    <w:lvl w:ilvl="5" w:tplc="1E449EE2">
      <w:numFmt w:val="decimal"/>
      <w:lvlText w:val=""/>
      <w:lvlJc w:val="left"/>
    </w:lvl>
    <w:lvl w:ilvl="6" w:tplc="B28C3DD0">
      <w:numFmt w:val="decimal"/>
      <w:lvlText w:val=""/>
      <w:lvlJc w:val="left"/>
    </w:lvl>
    <w:lvl w:ilvl="7" w:tplc="A844B602">
      <w:numFmt w:val="decimal"/>
      <w:lvlText w:val=""/>
      <w:lvlJc w:val="left"/>
    </w:lvl>
    <w:lvl w:ilvl="8" w:tplc="E140E5D0">
      <w:numFmt w:val="decimal"/>
      <w:lvlText w:val=""/>
      <w:lvlJc w:val="left"/>
    </w:lvl>
  </w:abstractNum>
  <w:abstractNum w:abstractNumId="8" w15:restartNumberingAfterBreak="0">
    <w:nsid w:val="7EDA4867"/>
    <w:multiLevelType w:val="hybridMultilevel"/>
    <w:tmpl w:val="B030BE86"/>
    <w:lvl w:ilvl="0" w:tplc="8B06F03A">
      <w:start w:val="1"/>
      <w:numFmt w:val="decimal"/>
      <w:lvlText w:val="%1."/>
      <w:lvlJc w:val="left"/>
      <w:pPr>
        <w:tabs>
          <w:tab w:val="num" w:pos="900"/>
        </w:tabs>
        <w:ind w:left="540" w:hanging="360"/>
      </w:pPr>
    </w:lvl>
    <w:lvl w:ilvl="1" w:tplc="8318B75C">
      <w:numFmt w:val="decimal"/>
      <w:lvlText w:val=""/>
      <w:lvlJc w:val="left"/>
    </w:lvl>
    <w:lvl w:ilvl="2" w:tplc="F78692C2">
      <w:numFmt w:val="decimal"/>
      <w:lvlText w:val=""/>
      <w:lvlJc w:val="left"/>
    </w:lvl>
    <w:lvl w:ilvl="3" w:tplc="BD5058F2">
      <w:numFmt w:val="decimal"/>
      <w:lvlText w:val=""/>
      <w:lvlJc w:val="left"/>
    </w:lvl>
    <w:lvl w:ilvl="4" w:tplc="AC26A3CC">
      <w:numFmt w:val="decimal"/>
      <w:lvlText w:val=""/>
      <w:lvlJc w:val="left"/>
    </w:lvl>
    <w:lvl w:ilvl="5" w:tplc="62829CFA">
      <w:numFmt w:val="decimal"/>
      <w:lvlText w:val=""/>
      <w:lvlJc w:val="left"/>
    </w:lvl>
    <w:lvl w:ilvl="6" w:tplc="C2723796">
      <w:numFmt w:val="decimal"/>
      <w:lvlText w:val=""/>
      <w:lvlJc w:val="left"/>
    </w:lvl>
    <w:lvl w:ilvl="7" w:tplc="E74608FC">
      <w:numFmt w:val="decimal"/>
      <w:lvlText w:val=""/>
      <w:lvlJc w:val="left"/>
    </w:lvl>
    <w:lvl w:ilvl="8" w:tplc="2214D296">
      <w:numFmt w:val="decimal"/>
      <w:lvlText w:val=""/>
      <w:lvlJc w:val="left"/>
    </w:lvl>
  </w:abstractNum>
  <w:num w:numId="1" w16cid:durableId="924458047">
    <w:abstractNumId w:val="6"/>
  </w:num>
  <w:num w:numId="2" w16cid:durableId="1789003894">
    <w:abstractNumId w:val="7"/>
  </w:num>
  <w:num w:numId="3" w16cid:durableId="868883375">
    <w:abstractNumId w:val="5"/>
  </w:num>
  <w:num w:numId="4" w16cid:durableId="714886923">
    <w:abstractNumId w:val="3"/>
  </w:num>
  <w:num w:numId="5" w16cid:durableId="1274359901">
    <w:abstractNumId w:val="0"/>
  </w:num>
  <w:num w:numId="6" w16cid:durableId="2026244750">
    <w:abstractNumId w:val="4"/>
  </w:num>
  <w:num w:numId="7" w16cid:durableId="928194509">
    <w:abstractNumId w:val="2"/>
  </w:num>
  <w:num w:numId="8" w16cid:durableId="2037151041">
    <w:abstractNumId w:val="8"/>
  </w:num>
  <w:num w:numId="9" w16cid:durableId="1909265412">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BD0"/>
    <w:rsid w:val="00076AED"/>
    <w:rsid w:val="001A26E3"/>
    <w:rsid w:val="008335B1"/>
    <w:rsid w:val="00BD507B"/>
    <w:rsid w:val="00D33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6891EC9C"/>
  <w15:docId w15:val="{8F22593D-D8AA-B54E-9950-AEC6F6640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jamanetwork.com/journals/jama/article-abstract/1148376" TargetMode="External"/><Relationship Id="rId3" Type="http://schemas.openxmlformats.org/officeDocument/2006/relationships/settings" Target="settings.xml"/><Relationship Id="rId7" Type="http://schemas.openxmlformats.org/officeDocument/2006/relationships/hyperlink" Target="https://ppl-ai-file-upload.s3.amazonaws.com/web/direct-files/attachments/35070221/e8b3e704-d43e-4771-a6e5-20d9325cade5/Cost-Quality-Correlation-Meta-Study-June-2026.docx?AWSAccessKeyId=ASIA2F3EMEYEZWPZOLRV&amp;Signature=3sm4tXpQjSVcwDG%2BFqwiM3RdiTI%3D&amp;x-amz-security-token=IQoJb3JpZ2luX2VjEP7%2F%2F%2F%2F%2F%2F%2F%2F%2F%2FwEaCXVzLWVhc3QtMSJIMEYCIQDZ716%2FT6Lxox%2F375PJWA5Od2eWhiqRHDrkrU7oGDMpHQIhAMIZRW4zttKyaIa0PNeEJSAZsVUOdTX%2FQp4YoaEVaPRuKvwECMf%2F%2F%2F%2F%2F%2F%2F%2F%2F%2FwEQARoMNjk5NzUzMzA5NzA1IgwykduV%2BVhdaF7wFu0q0ATNvfqbIIbaDR6Y3NcAwqjuHDWy05YqORjh%2FkGVFh5glob4XszKl%2Boe6YQSDVWnnoiqimcSqSIVOysdG70YXZEYn1EP8rG%2FC4kkQwAvOiwIR26r8uthlupG7gUmbzM0ziMNvZ8S6yosfNwVvnBlAKujjf%2BnPvNZ%2BYVoG%2FjwPscyhmFD8yrx9zz%2FCv2xUOA1LnXKSLJloWk6UjzB2Z6j%2Fn9wYM5OkeOTIpyKCNweAQLLddOqfTuWvmOmPW2vGOICI4qa6p9fyXZcAYRjqOWC0C9PDXyr7HOX%2F3RW4D9cLLh0UeNw5DpAu0DjlWjd89THmOzNq215xtI649axxpkHusNPUE7L%2BZS%2BfthXCYKcNI8u1YeDk%2BuQ%2FXvVyYQMY%2FEWBJCnYKldWIp3Y4sKpWycNCjygpS5X%2FBocy6hMGSgm0iDV70Ijft0t7UH0DyZBZh5cda61Vou7lzXRgTGBh0Zn63oYjHispovFmcyPgj%2F9J%2F0DCC4iHmLXvgouwAPM3K9bzztJzB2uCciwCDyyux7oanTxFqLKbFusstkwK8lzwy5Yvue0M9S9PDwnLUeKbYKT0I2J6GehZcJBSBIzCn%2FAW%2BCEQwN0%2B3CeQQFWVFf%2F4cBj%2Fwq7PN6sRcXt6j8v74R3GsPlexY3GoQQmGB7KxHrqRjTa%2B3wzGTRgz%2Fs9YMbHrPcA3WdM5AMANDqng6m%2BWHeeW%2BzPECJKns%2BoruHLfD%2B0HH7aWXMe1IUDMqVr7DGUybW07aMwRYZE5bo3CTBD57les6IJBv2Mmn0rlpscrvzE1DMOCLj9IGOpcBXU4tXkRsarBZftpUqrtRLClZzDH4rDw5%2FF7GWzo3gn1qIlPC6pbwIPie7BJ2gIZVXJqiuObl3JHH0E3s0hLHff0aS7BsHOuWuKXVHqxznYUiLgZ%2BX1vgDJztxBGMrwrSyB7z9kw3w0x%2BtBnrH%2BDdky9lh%2Bnvl8WLh1qtW3n7b%2FQVs8VMxWBtAJQW%2B6%2FvbBPR8ZWIG75YOA%3D%3D&amp;Expires=17828300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pl-ai-file-upload.s3.amazonaws.com/web/direct-files/attachments/35070221/213b7899-aaa6-4aca-bed3-6c4912572b07/Health-Care-Cost-Variance-Report-June-2026-V2.docx?AWSAccessKeyId=ASIA2F3EMEYEZWPZOLRV&amp;Signature=3e6V9ro3qFo8RokzrtTYUnd1ebk%3D&amp;x-amz-security-token=IQoJb3JpZ2luX2VjEP7%2F%2F%2F%2F%2F%2F%2F%2F%2F%2FwEaCXVzLWVhc3QtMSJIMEYCIQDZ716%2FT6Lxox%2F375PJWA5Od2eWhiqRHDrkrU7oGDMpHQIhAMIZRW4zttKyaIa0PNeEJSAZsVUOdTX%2FQp4YoaEVaPRuKvwECMf%2F%2F%2F%2F%2F%2F%2F%2F%2F%2FwEQARoMNjk5NzUzMzA5NzA1IgwykduV%2BVhdaF7wFu0q0ATNvfqbIIbaDR6Y3NcAwqjuHDWy05YqORjh%2FkGVFh5glob4XszKl%2Boe6YQSDVWnnoiqimcSqSIVOysdG70YXZEYn1EP8rG%2FC4kkQwAvOiwIR26r8uthlupG7gUmbzM0ziMNvZ8S6yosfNwVvnBlAKujjf%2BnPvNZ%2BYVoG%2FjwPscyhmFD8yrx9zz%2FCv2xUOA1LnXKSLJloWk6UjzB2Z6j%2Fn9wYM5OkeOTIpyKCNweAQLLddOqfTuWvmOmPW2vGOICI4qa6p9fyXZcAYRjqOWC0C9PDXyr7HOX%2F3RW4D9cLLh0UeNw5DpAu0DjlWjd89THmOzNq215xtI649axxpkHusNPUE7L%2BZS%2BfthXCYKcNI8u1YeDk%2BuQ%2FXvVyYQMY%2FEWBJCnYKldWIp3Y4sKpWycNCjygpS5X%2FBocy6hMGSgm0iDV70Ijft0t7UH0DyZBZh5cda61Vou7lzXRgTGBh0Zn63oYjHispovFmcyPgj%2F9J%2F0DCC4iHmLXvgouwAPM3K9bzztJzB2uCciwCDyyux7oanTxFqLKbFusstkwK8lzwy5Yvue0M9S9PDwnLUeKbYKT0I2J6GehZcJBSBIzCn%2FAW%2BCEQwN0%2B3CeQQFWVFf%2F4cBj%2Fwq7PN6sRcXt6j8v74R3GsPlexY3GoQQmGB7KxHrqRjTa%2B3wzGTRgz%2Fs9YMbHrPcA3WdM5AMANDqng6m%2BWHeeW%2BzPECJKns%2BoruHLfD%2B0HH7aWXMe1IUDMqVr7DGUybW07aMwRYZE5bo3CTBD57les6IJBv2Mmn0rlpscrvzE1DMOCLj9IGOpcBXU4tXkRsarBZftpUqrtRLClZzDH4rDw5%2FF7GWzo3gn1qIlPC6pbwIPie7BJ2gIZVXJqiuObl3JHH0E3s0hLHff0aS7BsHOuWuKXVHqxznYUiLgZ%2BX1vgDJztxBGMrwrSyB7z9kw3w0x%2BtBnrH%2BDdky9lh%2Bnvl8WLh1qtW3n7b%2FQVs8VMxWBtAJQW%2B6%2FvbBPR8ZWIG75YOA%3D%3D&amp;Expires=1782830003" TargetMode="External"/><Relationship Id="rId5" Type="http://schemas.openxmlformats.org/officeDocument/2006/relationships/hyperlink" Target="https://www.dartmouthatlas.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10450</Words>
  <Characters>59569</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Steve Wiggins</cp:lastModifiedBy>
  <cp:revision>2</cp:revision>
  <dcterms:created xsi:type="dcterms:W3CDTF">2026-06-30T14:58:00Z</dcterms:created>
  <dcterms:modified xsi:type="dcterms:W3CDTF">2026-06-30T14:58:00Z</dcterms:modified>
</cp:coreProperties>
</file>